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296B6A" w:rsidRPr="00103F17" w:rsidRDefault="005B47D7" w:rsidP="00296B6A">
      <w:pPr>
        <w:ind w:left="-426"/>
        <w:rPr>
          <w:rFonts w:asciiTheme="majorHAnsi" w:hAnsiTheme="majorHAnsi"/>
          <w:sz w:val="22"/>
          <w:szCs w:val="24"/>
        </w:rPr>
      </w:pPr>
      <w:r w:rsidRPr="005B47D7">
        <w:rPr>
          <w:rFonts w:asciiTheme="majorHAnsi" w:hAnsiTheme="majorHAnsi"/>
          <w:noProof/>
          <w:sz w:val="22"/>
          <w:lang w:val="en-US" w:eastAsia="zh-TW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left:0;text-align:left;margin-left:115.5pt;margin-top:0;width:356pt;height:115.5pt;z-index:251657728;mso-width-relative:margin;mso-height-relative:margin" fillcolor="#e5dfec" strokecolor="#f2f2f2" strokeweight="3pt">
            <v:shadow color="#243f60" opacity=".5"/>
            <v:textbox style="mso-next-textbox:#_x0000_s1026">
              <w:txbxContent>
                <w:p w:rsidR="00296B6A" w:rsidRDefault="00296B6A" w:rsidP="00296B6A">
                  <w:pPr>
                    <w:jc w:val="center"/>
                    <w:rPr>
                      <w:rFonts w:ascii="Tahoma" w:hAnsi="Tahoma" w:cs="Tahoma"/>
                      <w:b/>
                      <w:color w:val="660066"/>
                      <w:sz w:val="24"/>
                      <w:szCs w:val="24"/>
                    </w:rPr>
                  </w:pPr>
                </w:p>
                <w:p w:rsidR="00296B6A" w:rsidRPr="00102CFA" w:rsidRDefault="00296B6A" w:rsidP="00296B6A">
                  <w:pPr>
                    <w:jc w:val="center"/>
                    <w:rPr>
                      <w:rFonts w:ascii="Tahoma" w:hAnsi="Tahoma" w:cs="Tahoma"/>
                      <w:b/>
                      <w:color w:val="660066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color w:val="660066"/>
                      <w:sz w:val="24"/>
                      <w:szCs w:val="24"/>
                    </w:rPr>
                    <w:t>All-</w:t>
                  </w:r>
                  <w:r w:rsidRPr="00102CFA">
                    <w:rPr>
                      <w:rFonts w:ascii="Tahoma" w:hAnsi="Tahoma" w:cs="Tahoma"/>
                      <w:b/>
                      <w:color w:val="660066"/>
                      <w:sz w:val="24"/>
                      <w:szCs w:val="24"/>
                    </w:rPr>
                    <w:t>Party Parliamentary Group</w:t>
                  </w:r>
                  <w:r>
                    <w:rPr>
                      <w:rFonts w:ascii="Tahoma" w:hAnsi="Tahoma" w:cs="Tahoma"/>
                      <w:b/>
                      <w:color w:val="660066"/>
                      <w:sz w:val="24"/>
                      <w:szCs w:val="24"/>
                    </w:rPr>
                    <w:t xml:space="preserve"> for</w:t>
                  </w:r>
                  <w:r w:rsidRPr="00102CFA">
                    <w:rPr>
                      <w:rFonts w:ascii="Tahoma" w:hAnsi="Tahoma" w:cs="Tahoma"/>
                      <w:b/>
                      <w:color w:val="660066"/>
                      <w:sz w:val="24"/>
                      <w:szCs w:val="24"/>
                    </w:rPr>
                    <w:t xml:space="preserve">                                                               Art, Craft and Design</w:t>
                  </w:r>
                  <w:r>
                    <w:rPr>
                      <w:rFonts w:ascii="Tahoma" w:hAnsi="Tahoma" w:cs="Tahoma"/>
                      <w:b/>
                      <w:color w:val="660066"/>
                      <w:sz w:val="24"/>
                      <w:szCs w:val="24"/>
                    </w:rPr>
                    <w:t xml:space="preserve"> in</w:t>
                  </w:r>
                  <w:r w:rsidRPr="00102CFA">
                    <w:rPr>
                      <w:rFonts w:ascii="Tahoma" w:hAnsi="Tahoma" w:cs="Tahoma"/>
                      <w:b/>
                      <w:color w:val="660066"/>
                      <w:sz w:val="24"/>
                      <w:szCs w:val="24"/>
                    </w:rPr>
                    <w:t xml:space="preserve"> Education</w:t>
                  </w:r>
                </w:p>
              </w:txbxContent>
            </v:textbox>
          </v:shape>
        </w:pict>
      </w:r>
      <w:r w:rsidR="00296B6A">
        <w:rPr>
          <w:rFonts w:asciiTheme="majorHAnsi" w:hAnsiTheme="majorHAnsi"/>
          <w:noProof/>
          <w:sz w:val="22"/>
          <w:szCs w:val="24"/>
          <w:lang w:val="en-US" w:eastAsia="en-US"/>
        </w:rPr>
        <w:drawing>
          <wp:inline distT="0" distB="0" distL="0" distR="0">
            <wp:extent cx="1530985" cy="1530985"/>
            <wp:effectExtent l="25400" t="0" r="0" b="0"/>
            <wp:docPr id="1" name="Picture 1" descr="appg-logo-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pg-logo-small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153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B6A" w:rsidRPr="00103F17" w:rsidRDefault="00296B6A" w:rsidP="00296B6A">
      <w:pPr>
        <w:jc w:val="center"/>
        <w:rPr>
          <w:rFonts w:asciiTheme="majorHAnsi" w:hAnsiTheme="majorHAnsi"/>
          <w:sz w:val="22"/>
          <w:szCs w:val="24"/>
        </w:rPr>
      </w:pPr>
      <w:r w:rsidRPr="00103F17">
        <w:rPr>
          <w:rFonts w:asciiTheme="majorHAnsi" w:hAnsiTheme="majorHAnsi" w:cs="Arial"/>
          <w:b/>
          <w:sz w:val="22"/>
          <w:szCs w:val="28"/>
        </w:rPr>
        <w:t>Wednesday 22</w:t>
      </w:r>
      <w:r w:rsidRPr="00103F17">
        <w:rPr>
          <w:rFonts w:asciiTheme="majorHAnsi" w:hAnsiTheme="majorHAnsi" w:cs="Arial"/>
          <w:b/>
          <w:sz w:val="22"/>
          <w:szCs w:val="28"/>
          <w:vertAlign w:val="superscript"/>
        </w:rPr>
        <w:t>nd</w:t>
      </w:r>
      <w:r>
        <w:rPr>
          <w:rFonts w:asciiTheme="majorHAnsi" w:hAnsiTheme="majorHAnsi" w:cs="Arial"/>
          <w:b/>
          <w:sz w:val="22"/>
          <w:szCs w:val="28"/>
        </w:rPr>
        <w:t xml:space="preserve"> February 2017; 4 – 5:30</w:t>
      </w:r>
      <w:r w:rsidRPr="00103F17">
        <w:rPr>
          <w:rFonts w:asciiTheme="majorHAnsi" w:hAnsiTheme="majorHAnsi" w:cs="Arial"/>
          <w:b/>
          <w:sz w:val="22"/>
          <w:szCs w:val="28"/>
        </w:rPr>
        <w:t xml:space="preserve">pm, Committee Room </w:t>
      </w:r>
      <w:r>
        <w:rPr>
          <w:rFonts w:asciiTheme="majorHAnsi" w:hAnsiTheme="majorHAnsi" w:cs="Arial"/>
          <w:b/>
          <w:sz w:val="22"/>
          <w:szCs w:val="28"/>
        </w:rPr>
        <w:t>21</w:t>
      </w:r>
    </w:p>
    <w:p w:rsidR="00296B6A" w:rsidRPr="00103F17" w:rsidRDefault="00296B6A" w:rsidP="00296B6A">
      <w:pPr>
        <w:tabs>
          <w:tab w:val="left" w:pos="284"/>
        </w:tabs>
        <w:spacing w:before="120"/>
        <w:ind w:hanging="426"/>
        <w:jc w:val="center"/>
        <w:rPr>
          <w:rFonts w:asciiTheme="majorHAnsi" w:hAnsiTheme="majorHAnsi" w:cs="Calibri Light"/>
          <w:b/>
          <w:sz w:val="22"/>
          <w:szCs w:val="22"/>
          <w:u w:val="single"/>
        </w:rPr>
      </w:pPr>
      <w:r w:rsidRPr="00103F17">
        <w:rPr>
          <w:rFonts w:asciiTheme="majorHAnsi" w:hAnsiTheme="majorHAnsi" w:cs="Calibri Light"/>
          <w:b/>
          <w:sz w:val="22"/>
          <w:szCs w:val="22"/>
          <w:u w:val="single"/>
        </w:rPr>
        <w:t>Minutes</w:t>
      </w:r>
    </w:p>
    <w:p w:rsidR="00296B6A" w:rsidRPr="00103F17" w:rsidRDefault="00296B6A" w:rsidP="00296B6A">
      <w:pPr>
        <w:tabs>
          <w:tab w:val="left" w:pos="284"/>
        </w:tabs>
        <w:spacing w:before="120" w:after="0" w:line="240" w:lineRule="auto"/>
        <w:jc w:val="both"/>
        <w:rPr>
          <w:rFonts w:asciiTheme="majorHAnsi" w:hAnsiTheme="majorHAnsi" w:cs="Calibri Light"/>
          <w:b/>
          <w:sz w:val="22"/>
          <w:u w:val="single"/>
        </w:rPr>
      </w:pPr>
      <w:r w:rsidRPr="00103F17">
        <w:rPr>
          <w:rFonts w:asciiTheme="majorHAnsi" w:hAnsiTheme="majorHAnsi" w:cs="Calibri Light"/>
          <w:b/>
          <w:sz w:val="22"/>
          <w:szCs w:val="22"/>
          <w:u w:val="single"/>
        </w:rPr>
        <w:t>Attendees</w:t>
      </w:r>
      <w:r w:rsidRPr="00103F17">
        <w:rPr>
          <w:rFonts w:asciiTheme="majorHAnsi" w:hAnsiTheme="majorHAnsi" w:cs="Calibri Light"/>
          <w:b/>
          <w:sz w:val="22"/>
          <w:u w:val="single"/>
        </w:rPr>
        <w:t>:</w:t>
      </w:r>
    </w:p>
    <w:p w:rsidR="00296B6A" w:rsidRPr="00103F17" w:rsidRDefault="00296B6A" w:rsidP="00296B6A">
      <w:pPr>
        <w:tabs>
          <w:tab w:val="left" w:pos="284"/>
        </w:tabs>
        <w:spacing w:before="120" w:after="0" w:line="240" w:lineRule="auto"/>
        <w:jc w:val="both"/>
        <w:rPr>
          <w:rFonts w:asciiTheme="majorHAnsi" w:hAnsiTheme="majorHAnsi" w:cs="Calibri Light"/>
          <w:sz w:val="22"/>
        </w:rPr>
        <w:sectPr w:rsidR="00296B6A" w:rsidRPr="00103F17">
          <w:pgSz w:w="11906" w:h="16838"/>
          <w:pgMar w:top="720" w:right="720" w:bottom="720" w:left="1560" w:header="708" w:footer="708" w:gutter="0"/>
          <w:cols w:space="708"/>
          <w:docGrid w:linePitch="360"/>
        </w:sectPr>
      </w:pPr>
    </w:p>
    <w:p w:rsidR="00296B6A" w:rsidRPr="00103F17" w:rsidRDefault="00296B6A" w:rsidP="00296B6A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Calibri Light"/>
          <w:sz w:val="22"/>
        </w:rPr>
      </w:pPr>
      <w:r w:rsidRPr="00103F17">
        <w:rPr>
          <w:rFonts w:asciiTheme="majorHAnsi" w:hAnsiTheme="majorHAnsi" w:cs="Calibri Light"/>
          <w:sz w:val="22"/>
        </w:rPr>
        <w:t>Professor Jeff Adams; University of Chester</w:t>
      </w:r>
    </w:p>
    <w:p w:rsidR="00296B6A" w:rsidRPr="00103F17" w:rsidRDefault="00296B6A" w:rsidP="00296B6A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Calibri Light"/>
          <w:sz w:val="22"/>
        </w:rPr>
      </w:pPr>
      <w:r w:rsidRPr="00103F17">
        <w:rPr>
          <w:rFonts w:asciiTheme="majorHAnsi" w:hAnsiTheme="majorHAnsi" w:cs="Calibri Light"/>
          <w:sz w:val="22"/>
        </w:rPr>
        <w:t>Andy Ash; IOE/UCL</w:t>
      </w:r>
    </w:p>
    <w:p w:rsidR="00296B6A" w:rsidRPr="00103F17" w:rsidRDefault="00296B6A" w:rsidP="00296B6A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Calibri Light"/>
          <w:sz w:val="22"/>
        </w:rPr>
      </w:pPr>
      <w:r w:rsidRPr="00103F17">
        <w:rPr>
          <w:rFonts w:asciiTheme="majorHAnsi" w:hAnsiTheme="majorHAnsi" w:cs="Calibri Light"/>
          <w:sz w:val="22"/>
        </w:rPr>
        <w:t xml:space="preserve">Sarah </w:t>
      </w:r>
      <w:proofErr w:type="spellStart"/>
      <w:r w:rsidRPr="00103F17">
        <w:rPr>
          <w:rFonts w:asciiTheme="majorHAnsi" w:hAnsiTheme="majorHAnsi" w:cs="Calibri Light"/>
          <w:sz w:val="22"/>
        </w:rPr>
        <w:t>Bagshaw</w:t>
      </w:r>
      <w:proofErr w:type="spellEnd"/>
      <w:r w:rsidRPr="00103F17">
        <w:rPr>
          <w:rFonts w:asciiTheme="majorHAnsi" w:hAnsiTheme="majorHAnsi" w:cs="Calibri Light"/>
          <w:sz w:val="22"/>
        </w:rPr>
        <w:t>; Newman University</w:t>
      </w:r>
    </w:p>
    <w:p w:rsidR="00296B6A" w:rsidRPr="00103F17" w:rsidRDefault="00296B6A" w:rsidP="00296B6A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Calibri Light"/>
          <w:sz w:val="22"/>
        </w:rPr>
      </w:pPr>
      <w:r w:rsidRPr="00103F17">
        <w:rPr>
          <w:rFonts w:asciiTheme="majorHAnsi" w:hAnsiTheme="majorHAnsi" w:cs="Calibri Light"/>
          <w:sz w:val="22"/>
        </w:rPr>
        <w:t xml:space="preserve">Mandy Barrett; </w:t>
      </w:r>
      <w:proofErr w:type="spellStart"/>
      <w:r w:rsidRPr="00103F17">
        <w:rPr>
          <w:rFonts w:asciiTheme="majorHAnsi" w:hAnsiTheme="majorHAnsi" w:cs="Calibri Light"/>
          <w:sz w:val="22"/>
        </w:rPr>
        <w:t>Gomersal</w:t>
      </w:r>
      <w:proofErr w:type="spellEnd"/>
      <w:r w:rsidRPr="00103F17">
        <w:rPr>
          <w:rFonts w:asciiTheme="majorHAnsi" w:hAnsiTheme="majorHAnsi" w:cs="Calibri Light"/>
          <w:sz w:val="22"/>
        </w:rPr>
        <w:t xml:space="preserve"> Primary School</w:t>
      </w:r>
    </w:p>
    <w:p w:rsidR="00296B6A" w:rsidRPr="00103F17" w:rsidRDefault="00296B6A" w:rsidP="00296B6A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Calibri Light"/>
          <w:sz w:val="22"/>
        </w:rPr>
      </w:pPr>
      <w:r w:rsidRPr="00103F17">
        <w:rPr>
          <w:rFonts w:asciiTheme="majorHAnsi" w:hAnsiTheme="majorHAnsi" w:cs="Calibri Light"/>
          <w:sz w:val="22"/>
        </w:rPr>
        <w:t>Lesley Butterworth; NSEAD</w:t>
      </w:r>
    </w:p>
    <w:p w:rsidR="00296B6A" w:rsidRPr="00103F17" w:rsidRDefault="00296B6A" w:rsidP="00296B6A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Calibri Light"/>
          <w:sz w:val="22"/>
        </w:rPr>
      </w:pPr>
      <w:r w:rsidRPr="00103F17">
        <w:rPr>
          <w:rFonts w:asciiTheme="majorHAnsi" w:hAnsiTheme="majorHAnsi" w:cs="Calibri Light"/>
          <w:sz w:val="22"/>
        </w:rPr>
        <w:t>Peter Carr; Birmingham City University</w:t>
      </w:r>
    </w:p>
    <w:p w:rsidR="00296B6A" w:rsidRPr="00103F17" w:rsidRDefault="00296B6A" w:rsidP="00296B6A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Calibri Light"/>
          <w:sz w:val="22"/>
        </w:rPr>
      </w:pPr>
      <w:r w:rsidRPr="00103F17">
        <w:rPr>
          <w:rFonts w:asciiTheme="majorHAnsi" w:hAnsiTheme="majorHAnsi" w:cs="Calibri Light"/>
          <w:sz w:val="22"/>
        </w:rPr>
        <w:t>John Childs; NSEAD</w:t>
      </w:r>
    </w:p>
    <w:p w:rsidR="00296B6A" w:rsidRPr="00103F17" w:rsidRDefault="00296B6A" w:rsidP="00296B6A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Calibri Light"/>
          <w:sz w:val="22"/>
        </w:rPr>
      </w:pPr>
      <w:r w:rsidRPr="00103F17">
        <w:rPr>
          <w:rFonts w:asciiTheme="majorHAnsi" w:hAnsiTheme="majorHAnsi" w:cs="Calibri Light"/>
          <w:sz w:val="22"/>
        </w:rPr>
        <w:t xml:space="preserve">Tamara </w:t>
      </w:r>
      <w:proofErr w:type="spellStart"/>
      <w:r w:rsidRPr="00103F17">
        <w:rPr>
          <w:rFonts w:asciiTheme="majorHAnsi" w:hAnsiTheme="majorHAnsi" w:cs="Calibri Light"/>
          <w:sz w:val="22"/>
        </w:rPr>
        <w:t>Cincik</w:t>
      </w:r>
      <w:proofErr w:type="spellEnd"/>
      <w:r w:rsidRPr="00103F17">
        <w:rPr>
          <w:rFonts w:asciiTheme="majorHAnsi" w:hAnsiTheme="majorHAnsi" w:cs="Calibri Light"/>
          <w:sz w:val="22"/>
        </w:rPr>
        <w:t>; Office of Sharon Hodgson</w:t>
      </w:r>
    </w:p>
    <w:p w:rsidR="00296B6A" w:rsidRPr="00103F17" w:rsidRDefault="00296B6A" w:rsidP="00296B6A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Calibri Light"/>
          <w:sz w:val="22"/>
        </w:rPr>
      </w:pPr>
      <w:r w:rsidRPr="00103F17">
        <w:rPr>
          <w:rFonts w:asciiTheme="majorHAnsi" w:hAnsiTheme="majorHAnsi" w:cs="Calibri Light"/>
          <w:sz w:val="22"/>
        </w:rPr>
        <w:t xml:space="preserve">The Earl </w:t>
      </w:r>
      <w:proofErr w:type="spellStart"/>
      <w:r w:rsidRPr="00103F17">
        <w:rPr>
          <w:rFonts w:asciiTheme="majorHAnsi" w:hAnsiTheme="majorHAnsi" w:cs="Calibri Light"/>
          <w:sz w:val="22"/>
        </w:rPr>
        <w:t>Clancarty</w:t>
      </w:r>
      <w:proofErr w:type="spellEnd"/>
      <w:r w:rsidRPr="00103F17">
        <w:rPr>
          <w:rFonts w:asciiTheme="majorHAnsi" w:hAnsiTheme="majorHAnsi" w:cs="Calibri Light"/>
          <w:sz w:val="22"/>
        </w:rPr>
        <w:t>; Vice Chair, House of Lords</w:t>
      </w:r>
    </w:p>
    <w:p w:rsidR="00296B6A" w:rsidRPr="00103F17" w:rsidRDefault="00296B6A" w:rsidP="00296B6A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Calibri Light"/>
          <w:sz w:val="22"/>
        </w:rPr>
      </w:pPr>
      <w:r w:rsidRPr="00103F17">
        <w:rPr>
          <w:rFonts w:asciiTheme="majorHAnsi" w:hAnsiTheme="majorHAnsi" w:cs="Calibri Light"/>
          <w:sz w:val="22"/>
        </w:rPr>
        <w:t>Sophie Cole; University of Northumbria</w:t>
      </w:r>
    </w:p>
    <w:p w:rsidR="00296B6A" w:rsidRPr="00103F17" w:rsidRDefault="00296B6A" w:rsidP="00296B6A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Calibri Light"/>
          <w:sz w:val="22"/>
        </w:rPr>
      </w:pPr>
      <w:r w:rsidRPr="00103F17">
        <w:rPr>
          <w:rFonts w:asciiTheme="majorHAnsi" w:hAnsiTheme="majorHAnsi" w:cs="Calibri Light"/>
          <w:sz w:val="22"/>
        </w:rPr>
        <w:t>Susan Coles; NSEAD</w:t>
      </w:r>
    </w:p>
    <w:p w:rsidR="00296B6A" w:rsidRPr="00103F17" w:rsidRDefault="00296B6A" w:rsidP="00296B6A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Calibri Light"/>
          <w:sz w:val="22"/>
        </w:rPr>
      </w:pPr>
      <w:r w:rsidRPr="00103F17">
        <w:rPr>
          <w:rFonts w:asciiTheme="majorHAnsi" w:hAnsiTheme="majorHAnsi" w:cs="Calibri Light"/>
          <w:sz w:val="22"/>
        </w:rPr>
        <w:t>Janet Coles; Newman University</w:t>
      </w:r>
    </w:p>
    <w:p w:rsidR="00296B6A" w:rsidRPr="00103F17" w:rsidRDefault="00296B6A" w:rsidP="00296B6A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Calibri Light"/>
          <w:sz w:val="22"/>
        </w:rPr>
      </w:pPr>
      <w:r w:rsidRPr="00103F17">
        <w:rPr>
          <w:rFonts w:asciiTheme="majorHAnsi" w:hAnsiTheme="majorHAnsi" w:cs="Calibri Light"/>
          <w:sz w:val="22"/>
        </w:rPr>
        <w:t>Linda Copeland; Vida Education OCR</w:t>
      </w:r>
    </w:p>
    <w:p w:rsidR="00296B6A" w:rsidRPr="00103F17" w:rsidRDefault="00296B6A" w:rsidP="00296B6A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Calibri Light"/>
          <w:sz w:val="22"/>
        </w:rPr>
      </w:pPr>
      <w:r w:rsidRPr="00103F17">
        <w:rPr>
          <w:rFonts w:asciiTheme="majorHAnsi" w:hAnsiTheme="majorHAnsi" w:cs="Calibri Light"/>
          <w:sz w:val="22"/>
        </w:rPr>
        <w:t>Nicky Dewar; Crafts Council</w:t>
      </w:r>
    </w:p>
    <w:p w:rsidR="00296B6A" w:rsidRPr="00103F17" w:rsidRDefault="00296B6A" w:rsidP="00296B6A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Calibri Light"/>
          <w:sz w:val="22"/>
        </w:rPr>
      </w:pPr>
      <w:r w:rsidRPr="00103F17">
        <w:rPr>
          <w:rFonts w:asciiTheme="majorHAnsi" w:hAnsiTheme="majorHAnsi" w:cs="Calibri Light"/>
          <w:sz w:val="22"/>
        </w:rPr>
        <w:t>Samantha Fairbairn; University of Northumbria</w:t>
      </w:r>
    </w:p>
    <w:p w:rsidR="00296B6A" w:rsidRPr="00103F17" w:rsidRDefault="00296B6A" w:rsidP="00296B6A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Calibri Light"/>
          <w:sz w:val="22"/>
        </w:rPr>
      </w:pPr>
      <w:r w:rsidRPr="00103F17">
        <w:rPr>
          <w:rFonts w:asciiTheme="majorHAnsi" w:hAnsiTheme="majorHAnsi" w:cs="Calibri Light"/>
          <w:sz w:val="22"/>
        </w:rPr>
        <w:t>Dr</w:t>
      </w:r>
      <w:r>
        <w:rPr>
          <w:rFonts w:asciiTheme="majorHAnsi" w:hAnsiTheme="majorHAnsi" w:cs="Calibri Light"/>
          <w:sz w:val="22"/>
        </w:rPr>
        <w:t>.</w:t>
      </w:r>
      <w:r w:rsidRPr="00103F17">
        <w:rPr>
          <w:rFonts w:asciiTheme="majorHAnsi" w:hAnsiTheme="majorHAnsi" w:cs="Calibri Light"/>
          <w:sz w:val="22"/>
        </w:rPr>
        <w:t xml:space="preserve"> Peter Gregory; NSEAD</w:t>
      </w:r>
    </w:p>
    <w:p w:rsidR="00296B6A" w:rsidRPr="00103F17" w:rsidRDefault="00296B6A" w:rsidP="00296B6A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Calibri Light"/>
          <w:sz w:val="22"/>
        </w:rPr>
      </w:pPr>
      <w:r w:rsidRPr="00103F17">
        <w:rPr>
          <w:rFonts w:asciiTheme="majorHAnsi" w:hAnsiTheme="majorHAnsi" w:cs="Calibri Light"/>
          <w:sz w:val="22"/>
        </w:rPr>
        <w:t xml:space="preserve">Hilary </w:t>
      </w:r>
      <w:proofErr w:type="spellStart"/>
      <w:r w:rsidRPr="00103F17">
        <w:rPr>
          <w:rFonts w:asciiTheme="majorHAnsi" w:hAnsiTheme="majorHAnsi" w:cs="Calibri Light"/>
          <w:sz w:val="22"/>
        </w:rPr>
        <w:t>Gresty</w:t>
      </w:r>
      <w:proofErr w:type="spellEnd"/>
      <w:r w:rsidRPr="00103F17">
        <w:rPr>
          <w:rFonts w:asciiTheme="majorHAnsi" w:hAnsiTheme="majorHAnsi" w:cs="Calibri Light"/>
          <w:sz w:val="22"/>
        </w:rPr>
        <w:t>; Freelance</w:t>
      </w:r>
    </w:p>
    <w:p w:rsidR="00296B6A" w:rsidRPr="00103F17" w:rsidRDefault="00296B6A" w:rsidP="00296B6A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Calibri Light"/>
          <w:sz w:val="22"/>
        </w:rPr>
      </w:pPr>
      <w:r w:rsidRPr="00103F17">
        <w:rPr>
          <w:rFonts w:asciiTheme="majorHAnsi" w:hAnsiTheme="majorHAnsi" w:cs="Calibri Light"/>
          <w:sz w:val="22"/>
        </w:rPr>
        <w:t xml:space="preserve">June </w:t>
      </w:r>
      <w:proofErr w:type="spellStart"/>
      <w:r w:rsidRPr="00103F17">
        <w:rPr>
          <w:rFonts w:asciiTheme="majorHAnsi" w:hAnsiTheme="majorHAnsi" w:cs="Calibri Light"/>
          <w:sz w:val="22"/>
        </w:rPr>
        <w:t>Harbottle</w:t>
      </w:r>
      <w:proofErr w:type="spellEnd"/>
      <w:r w:rsidRPr="00103F17">
        <w:rPr>
          <w:rFonts w:asciiTheme="majorHAnsi" w:hAnsiTheme="majorHAnsi" w:cs="Calibri Light"/>
          <w:sz w:val="22"/>
        </w:rPr>
        <w:t>; Birmingham City University</w:t>
      </w:r>
    </w:p>
    <w:p w:rsidR="00296B6A" w:rsidRPr="00103F17" w:rsidRDefault="00296B6A" w:rsidP="00296B6A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Calibri Light"/>
          <w:sz w:val="22"/>
        </w:rPr>
      </w:pPr>
      <w:r w:rsidRPr="00103F17">
        <w:rPr>
          <w:rFonts w:asciiTheme="majorHAnsi" w:hAnsiTheme="majorHAnsi" w:cs="Calibri Light"/>
          <w:sz w:val="22"/>
        </w:rPr>
        <w:t xml:space="preserve">Debbie </w:t>
      </w:r>
      <w:proofErr w:type="spellStart"/>
      <w:r w:rsidRPr="00103F17">
        <w:rPr>
          <w:rFonts w:asciiTheme="majorHAnsi" w:hAnsiTheme="majorHAnsi" w:cs="Calibri Light"/>
          <w:sz w:val="22"/>
        </w:rPr>
        <w:t>Hepplestone</w:t>
      </w:r>
      <w:proofErr w:type="spellEnd"/>
      <w:r w:rsidRPr="00103F17">
        <w:rPr>
          <w:rFonts w:asciiTheme="majorHAnsi" w:hAnsiTheme="majorHAnsi" w:cs="Calibri Light"/>
          <w:sz w:val="22"/>
        </w:rPr>
        <w:t xml:space="preserve">; St </w:t>
      </w:r>
      <w:proofErr w:type="spellStart"/>
      <w:r w:rsidRPr="00103F17">
        <w:rPr>
          <w:rFonts w:asciiTheme="majorHAnsi" w:hAnsiTheme="majorHAnsi" w:cs="Calibri Light"/>
          <w:sz w:val="22"/>
        </w:rPr>
        <w:t>Bernards</w:t>
      </w:r>
      <w:proofErr w:type="spellEnd"/>
      <w:r w:rsidRPr="00103F17">
        <w:rPr>
          <w:rFonts w:asciiTheme="majorHAnsi" w:hAnsiTheme="majorHAnsi" w:cs="Calibri Light"/>
          <w:sz w:val="22"/>
        </w:rPr>
        <w:t xml:space="preserve"> RC School, Rotherham</w:t>
      </w:r>
    </w:p>
    <w:p w:rsidR="00296B6A" w:rsidRPr="00103F17" w:rsidRDefault="00296B6A" w:rsidP="00296B6A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Calibri Light"/>
          <w:sz w:val="22"/>
        </w:rPr>
      </w:pPr>
      <w:r w:rsidRPr="00103F17">
        <w:rPr>
          <w:rFonts w:asciiTheme="majorHAnsi" w:hAnsiTheme="majorHAnsi" w:cs="Calibri Light"/>
          <w:sz w:val="22"/>
        </w:rPr>
        <w:t>Sharon Hodgson MP; Chair</w:t>
      </w:r>
    </w:p>
    <w:p w:rsidR="00296B6A" w:rsidRPr="00103F17" w:rsidRDefault="00296B6A" w:rsidP="00296B6A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Calibri Light"/>
          <w:sz w:val="22"/>
        </w:rPr>
      </w:pPr>
      <w:r w:rsidRPr="00103F17">
        <w:rPr>
          <w:rFonts w:asciiTheme="majorHAnsi" w:hAnsiTheme="majorHAnsi" w:cs="Calibri Light"/>
          <w:sz w:val="22"/>
        </w:rPr>
        <w:t xml:space="preserve">Simon </w:t>
      </w:r>
      <w:proofErr w:type="spellStart"/>
      <w:r w:rsidRPr="00103F17">
        <w:rPr>
          <w:rFonts w:asciiTheme="majorHAnsi" w:hAnsiTheme="majorHAnsi" w:cs="Calibri Light"/>
          <w:sz w:val="22"/>
        </w:rPr>
        <w:t>Huson</w:t>
      </w:r>
      <w:proofErr w:type="spellEnd"/>
      <w:r w:rsidRPr="00103F17">
        <w:rPr>
          <w:rFonts w:asciiTheme="majorHAnsi" w:hAnsiTheme="majorHAnsi" w:cs="Calibri Light"/>
          <w:sz w:val="22"/>
        </w:rPr>
        <w:t>; UWE Bristol</w:t>
      </w:r>
    </w:p>
    <w:p w:rsidR="00296B6A" w:rsidRPr="00103F17" w:rsidRDefault="00296B6A" w:rsidP="00296B6A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Calibri Light"/>
          <w:sz w:val="22"/>
        </w:rPr>
      </w:pPr>
      <w:r w:rsidRPr="00103F17">
        <w:rPr>
          <w:rFonts w:asciiTheme="majorHAnsi" w:hAnsiTheme="majorHAnsi" w:cs="Calibri Light"/>
          <w:sz w:val="22"/>
        </w:rPr>
        <w:t xml:space="preserve">Henna </w:t>
      </w:r>
      <w:proofErr w:type="spellStart"/>
      <w:r w:rsidRPr="00103F17">
        <w:rPr>
          <w:rFonts w:asciiTheme="majorHAnsi" w:hAnsiTheme="majorHAnsi" w:cs="Calibri Light"/>
          <w:sz w:val="22"/>
        </w:rPr>
        <w:t>Javed</w:t>
      </w:r>
      <w:proofErr w:type="spellEnd"/>
      <w:r w:rsidRPr="00103F17">
        <w:rPr>
          <w:rFonts w:asciiTheme="majorHAnsi" w:hAnsiTheme="majorHAnsi" w:cs="Calibri Light"/>
          <w:sz w:val="22"/>
        </w:rPr>
        <w:t>; University of Northumbria</w:t>
      </w:r>
    </w:p>
    <w:p w:rsidR="00296B6A" w:rsidRPr="00103F17" w:rsidRDefault="00296B6A" w:rsidP="00296B6A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Calibri Light"/>
          <w:sz w:val="22"/>
        </w:rPr>
      </w:pPr>
      <w:r w:rsidRPr="00103F17">
        <w:rPr>
          <w:rFonts w:asciiTheme="majorHAnsi" w:hAnsiTheme="majorHAnsi" w:cs="Calibri Light"/>
          <w:sz w:val="22"/>
        </w:rPr>
        <w:t>Sally Johnson; University of Brighton</w:t>
      </w:r>
    </w:p>
    <w:p w:rsidR="00296B6A" w:rsidRPr="00103F17" w:rsidRDefault="00296B6A" w:rsidP="00296B6A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Calibri Light"/>
          <w:sz w:val="22"/>
        </w:rPr>
      </w:pPr>
      <w:r w:rsidRPr="00103F17">
        <w:rPr>
          <w:rFonts w:asciiTheme="majorHAnsi" w:hAnsiTheme="majorHAnsi" w:cs="Calibri Light"/>
          <w:sz w:val="22"/>
        </w:rPr>
        <w:t>Sophie Leach; NSEAD</w:t>
      </w:r>
    </w:p>
    <w:p w:rsidR="00296B6A" w:rsidRPr="00103F17" w:rsidRDefault="00296B6A" w:rsidP="00296B6A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Calibri Light"/>
          <w:sz w:val="22"/>
        </w:rPr>
      </w:pPr>
      <w:r w:rsidRPr="00103F17">
        <w:rPr>
          <w:rFonts w:asciiTheme="majorHAnsi" w:hAnsiTheme="majorHAnsi" w:cs="Calibri Light"/>
          <w:sz w:val="22"/>
        </w:rPr>
        <w:t>Katie Leonard; Staffordshire University/British Ceramics Biennial</w:t>
      </w:r>
    </w:p>
    <w:p w:rsidR="00296B6A" w:rsidRPr="00103F17" w:rsidRDefault="00296B6A" w:rsidP="00296B6A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Calibri Light"/>
          <w:sz w:val="22"/>
        </w:rPr>
      </w:pPr>
      <w:r w:rsidRPr="00103F17">
        <w:rPr>
          <w:rFonts w:asciiTheme="majorHAnsi" w:hAnsiTheme="majorHAnsi" w:cs="Calibri Light"/>
          <w:sz w:val="22"/>
        </w:rPr>
        <w:t>Andrew Leslie; St Bernard’s RC School, Rotherham</w:t>
      </w:r>
    </w:p>
    <w:p w:rsidR="00296B6A" w:rsidRPr="00103F17" w:rsidRDefault="00296B6A" w:rsidP="00296B6A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Calibri Light"/>
          <w:sz w:val="22"/>
        </w:rPr>
      </w:pPr>
      <w:r w:rsidRPr="00103F17">
        <w:rPr>
          <w:rFonts w:asciiTheme="majorHAnsi" w:hAnsiTheme="majorHAnsi" w:cs="Calibri Light"/>
          <w:sz w:val="22"/>
        </w:rPr>
        <w:t>Patricia Lovett MBE; Heritage Craft Association</w:t>
      </w:r>
    </w:p>
    <w:p w:rsidR="00296B6A" w:rsidRPr="00103F17" w:rsidRDefault="00296B6A" w:rsidP="00296B6A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Calibri Light"/>
          <w:sz w:val="22"/>
        </w:rPr>
      </w:pPr>
      <w:r w:rsidRPr="00103F17">
        <w:rPr>
          <w:rFonts w:asciiTheme="majorHAnsi" w:hAnsiTheme="majorHAnsi" w:cs="Calibri Light"/>
          <w:sz w:val="22"/>
        </w:rPr>
        <w:t xml:space="preserve">Carla </w:t>
      </w:r>
      <w:proofErr w:type="spellStart"/>
      <w:r w:rsidRPr="00103F17">
        <w:rPr>
          <w:rFonts w:asciiTheme="majorHAnsi" w:hAnsiTheme="majorHAnsi" w:cs="Calibri Light"/>
          <w:sz w:val="22"/>
        </w:rPr>
        <w:t>Mindel</w:t>
      </w:r>
      <w:proofErr w:type="spellEnd"/>
      <w:r w:rsidRPr="00103F17">
        <w:rPr>
          <w:rFonts w:asciiTheme="majorHAnsi" w:hAnsiTheme="majorHAnsi" w:cs="Calibri Light"/>
          <w:sz w:val="22"/>
        </w:rPr>
        <w:t>; University of Greenwich</w:t>
      </w:r>
    </w:p>
    <w:p w:rsidR="00296B6A" w:rsidRPr="00103F17" w:rsidRDefault="00296B6A" w:rsidP="00296B6A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Calibri Light"/>
          <w:sz w:val="22"/>
        </w:rPr>
      </w:pPr>
      <w:r w:rsidRPr="00103F17">
        <w:rPr>
          <w:rFonts w:asciiTheme="majorHAnsi" w:hAnsiTheme="majorHAnsi" w:cs="Calibri Light"/>
          <w:sz w:val="22"/>
        </w:rPr>
        <w:t>Melanie Moss; UWE Bristol</w:t>
      </w:r>
    </w:p>
    <w:p w:rsidR="00296B6A" w:rsidRPr="00103F17" w:rsidRDefault="00296B6A" w:rsidP="00296B6A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Calibri Light"/>
          <w:sz w:val="22"/>
        </w:rPr>
      </w:pPr>
      <w:r w:rsidRPr="00103F17">
        <w:rPr>
          <w:rFonts w:asciiTheme="majorHAnsi" w:hAnsiTheme="majorHAnsi" w:cs="Calibri Light"/>
          <w:sz w:val="22"/>
        </w:rPr>
        <w:t>Baroness Nye; Vice Chair, House of Lords</w:t>
      </w:r>
    </w:p>
    <w:p w:rsidR="00296B6A" w:rsidRPr="00103F17" w:rsidRDefault="00296B6A" w:rsidP="00296B6A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Calibri Light"/>
          <w:sz w:val="22"/>
        </w:rPr>
      </w:pPr>
      <w:r w:rsidRPr="00103F17">
        <w:rPr>
          <w:rFonts w:asciiTheme="majorHAnsi" w:hAnsiTheme="majorHAnsi" w:cs="Calibri Light"/>
          <w:sz w:val="22"/>
        </w:rPr>
        <w:t xml:space="preserve">Susan </w:t>
      </w:r>
      <w:proofErr w:type="spellStart"/>
      <w:r w:rsidRPr="00103F17">
        <w:rPr>
          <w:rFonts w:asciiTheme="majorHAnsi" w:hAnsiTheme="majorHAnsi" w:cs="Calibri Light"/>
          <w:sz w:val="22"/>
        </w:rPr>
        <w:t>Ogier</w:t>
      </w:r>
      <w:proofErr w:type="spellEnd"/>
      <w:r w:rsidRPr="00103F17">
        <w:rPr>
          <w:rFonts w:asciiTheme="majorHAnsi" w:hAnsiTheme="majorHAnsi" w:cs="Calibri Light"/>
          <w:sz w:val="22"/>
        </w:rPr>
        <w:t xml:space="preserve">; University of </w:t>
      </w:r>
      <w:proofErr w:type="spellStart"/>
      <w:r w:rsidRPr="00103F17">
        <w:rPr>
          <w:rFonts w:asciiTheme="majorHAnsi" w:hAnsiTheme="majorHAnsi" w:cs="Calibri Light"/>
          <w:sz w:val="22"/>
        </w:rPr>
        <w:t>Roehampton</w:t>
      </w:r>
      <w:proofErr w:type="spellEnd"/>
    </w:p>
    <w:p w:rsidR="00296B6A" w:rsidRPr="00103F17" w:rsidRDefault="00296B6A" w:rsidP="00296B6A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Calibri Light"/>
          <w:sz w:val="22"/>
        </w:rPr>
      </w:pPr>
      <w:r w:rsidRPr="00103F17">
        <w:rPr>
          <w:rFonts w:asciiTheme="majorHAnsi" w:hAnsiTheme="majorHAnsi" w:cs="Calibri Light"/>
          <w:sz w:val="22"/>
        </w:rPr>
        <w:t>Dr</w:t>
      </w:r>
      <w:r>
        <w:rPr>
          <w:rFonts w:asciiTheme="majorHAnsi" w:hAnsiTheme="majorHAnsi" w:cs="Calibri Light"/>
          <w:sz w:val="22"/>
        </w:rPr>
        <w:t>.</w:t>
      </w:r>
      <w:r w:rsidRPr="00103F17">
        <w:rPr>
          <w:rFonts w:asciiTheme="majorHAnsi" w:hAnsiTheme="majorHAnsi" w:cs="Calibri Light"/>
          <w:sz w:val="22"/>
        </w:rPr>
        <w:t xml:space="preserve"> Rachel Payne; Oxford Brookes University</w:t>
      </w:r>
    </w:p>
    <w:p w:rsidR="00296B6A" w:rsidRPr="00103F17" w:rsidRDefault="00296B6A" w:rsidP="00296B6A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Calibri Light"/>
          <w:sz w:val="22"/>
        </w:rPr>
      </w:pPr>
      <w:r w:rsidRPr="00103F17">
        <w:rPr>
          <w:rFonts w:asciiTheme="majorHAnsi" w:hAnsiTheme="majorHAnsi" w:cs="Calibri Light"/>
          <w:sz w:val="22"/>
        </w:rPr>
        <w:t>Dan Firth Powell; St James CE High School</w:t>
      </w:r>
    </w:p>
    <w:p w:rsidR="00296B6A" w:rsidRPr="00103F17" w:rsidRDefault="00296B6A" w:rsidP="00296B6A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Calibri Light"/>
          <w:sz w:val="22"/>
        </w:rPr>
      </w:pPr>
      <w:r w:rsidRPr="00103F17">
        <w:rPr>
          <w:rFonts w:asciiTheme="majorHAnsi" w:hAnsiTheme="majorHAnsi" w:cs="Calibri Light"/>
          <w:sz w:val="22"/>
        </w:rPr>
        <w:t>Helen Ross; Creative Fuse North East</w:t>
      </w:r>
    </w:p>
    <w:p w:rsidR="00296B6A" w:rsidRPr="00103F17" w:rsidRDefault="00296B6A" w:rsidP="00296B6A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Calibri Light"/>
          <w:sz w:val="22"/>
        </w:rPr>
      </w:pPr>
      <w:r w:rsidRPr="00103F17">
        <w:rPr>
          <w:rFonts w:asciiTheme="majorHAnsi" w:hAnsiTheme="majorHAnsi" w:cs="Calibri Light"/>
          <w:sz w:val="22"/>
        </w:rPr>
        <w:t xml:space="preserve">Patrick Saunders; The </w:t>
      </w:r>
      <w:proofErr w:type="spellStart"/>
      <w:r w:rsidRPr="00103F17">
        <w:rPr>
          <w:rFonts w:asciiTheme="majorHAnsi" w:hAnsiTheme="majorHAnsi" w:cs="Calibri Light"/>
          <w:sz w:val="22"/>
        </w:rPr>
        <w:t>Urswick</w:t>
      </w:r>
      <w:proofErr w:type="spellEnd"/>
      <w:r w:rsidRPr="00103F17">
        <w:rPr>
          <w:rFonts w:asciiTheme="majorHAnsi" w:hAnsiTheme="majorHAnsi" w:cs="Calibri Light"/>
          <w:sz w:val="22"/>
        </w:rPr>
        <w:t xml:space="preserve"> School</w:t>
      </w:r>
    </w:p>
    <w:p w:rsidR="00296B6A" w:rsidRPr="00103F17" w:rsidRDefault="00296B6A" w:rsidP="00296B6A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Calibri Light"/>
          <w:sz w:val="22"/>
        </w:rPr>
      </w:pPr>
      <w:r w:rsidRPr="00103F17">
        <w:rPr>
          <w:rFonts w:asciiTheme="majorHAnsi" w:hAnsiTheme="majorHAnsi" w:cs="Calibri Light"/>
          <w:sz w:val="22"/>
        </w:rPr>
        <w:t>Pauline Smith: University of Bournemouth</w:t>
      </w:r>
    </w:p>
    <w:p w:rsidR="00296B6A" w:rsidRPr="00103F17" w:rsidRDefault="00296B6A" w:rsidP="00296B6A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Calibri Light"/>
          <w:sz w:val="22"/>
        </w:rPr>
      </w:pPr>
      <w:proofErr w:type="spellStart"/>
      <w:r w:rsidRPr="00103F17">
        <w:rPr>
          <w:rFonts w:asciiTheme="majorHAnsi" w:hAnsiTheme="majorHAnsi" w:cs="Calibri Light"/>
          <w:sz w:val="22"/>
        </w:rPr>
        <w:t>Kiran</w:t>
      </w:r>
      <w:proofErr w:type="spellEnd"/>
      <w:r w:rsidRPr="00103F17">
        <w:rPr>
          <w:rFonts w:asciiTheme="majorHAnsi" w:hAnsiTheme="majorHAnsi" w:cs="Calibri Light"/>
          <w:sz w:val="22"/>
        </w:rPr>
        <w:t xml:space="preserve"> </w:t>
      </w:r>
      <w:proofErr w:type="spellStart"/>
      <w:r w:rsidRPr="00103F17">
        <w:rPr>
          <w:rFonts w:asciiTheme="majorHAnsi" w:hAnsiTheme="majorHAnsi" w:cs="Calibri Light"/>
          <w:sz w:val="22"/>
        </w:rPr>
        <w:t>Tasneem</w:t>
      </w:r>
      <w:proofErr w:type="spellEnd"/>
      <w:r w:rsidRPr="00103F17">
        <w:rPr>
          <w:rFonts w:asciiTheme="majorHAnsi" w:hAnsiTheme="majorHAnsi" w:cs="Calibri Light"/>
          <w:sz w:val="22"/>
        </w:rPr>
        <w:t>; Birmingham City University</w:t>
      </w:r>
    </w:p>
    <w:p w:rsidR="00296B6A" w:rsidRPr="00103F17" w:rsidRDefault="00296B6A" w:rsidP="00296B6A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Calibri Light"/>
          <w:sz w:val="22"/>
        </w:rPr>
      </w:pPr>
      <w:r w:rsidRPr="00103F17">
        <w:rPr>
          <w:rFonts w:asciiTheme="majorHAnsi" w:hAnsiTheme="majorHAnsi" w:cs="Calibri Light"/>
          <w:sz w:val="22"/>
        </w:rPr>
        <w:t>Ian Thompson: UAL London</w:t>
      </w:r>
    </w:p>
    <w:p w:rsidR="00296B6A" w:rsidRPr="00103F17" w:rsidRDefault="00296B6A" w:rsidP="00296B6A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Calibri Light"/>
          <w:sz w:val="22"/>
        </w:rPr>
      </w:pPr>
      <w:r w:rsidRPr="00103F17">
        <w:rPr>
          <w:rFonts w:asciiTheme="majorHAnsi" w:hAnsiTheme="majorHAnsi" w:cs="Calibri Light"/>
          <w:sz w:val="22"/>
        </w:rPr>
        <w:t xml:space="preserve">Jennifer </w:t>
      </w:r>
      <w:proofErr w:type="spellStart"/>
      <w:r w:rsidRPr="00103F17">
        <w:rPr>
          <w:rFonts w:asciiTheme="majorHAnsi" w:hAnsiTheme="majorHAnsi" w:cs="Calibri Light"/>
          <w:sz w:val="22"/>
        </w:rPr>
        <w:t>Tuckett</w:t>
      </w:r>
      <w:proofErr w:type="spellEnd"/>
      <w:r w:rsidRPr="00103F17">
        <w:rPr>
          <w:rFonts w:asciiTheme="majorHAnsi" w:hAnsiTheme="majorHAnsi" w:cs="Calibri Light"/>
          <w:sz w:val="22"/>
        </w:rPr>
        <w:t>; Central Saint Martins</w:t>
      </w:r>
    </w:p>
    <w:p w:rsidR="00296B6A" w:rsidRPr="00103F17" w:rsidRDefault="00296B6A" w:rsidP="00296B6A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Calibri Light"/>
          <w:sz w:val="22"/>
        </w:rPr>
      </w:pPr>
      <w:r w:rsidRPr="00103F17">
        <w:rPr>
          <w:rFonts w:asciiTheme="majorHAnsi" w:hAnsiTheme="majorHAnsi" w:cs="Calibri Light"/>
          <w:sz w:val="22"/>
        </w:rPr>
        <w:t>Neil Walton; Goldsmiths University</w:t>
      </w:r>
    </w:p>
    <w:p w:rsidR="00296B6A" w:rsidRPr="00103F17" w:rsidRDefault="00296B6A" w:rsidP="00296B6A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Calibri Light"/>
          <w:sz w:val="22"/>
        </w:rPr>
      </w:pPr>
      <w:r w:rsidRPr="00103F17">
        <w:rPr>
          <w:rFonts w:asciiTheme="majorHAnsi" w:hAnsiTheme="majorHAnsi" w:cs="Calibri Light"/>
          <w:sz w:val="22"/>
        </w:rPr>
        <w:t>Chris Waterman; APPG for the Teaching Profession</w:t>
      </w:r>
    </w:p>
    <w:p w:rsidR="00296B6A" w:rsidRPr="00103F17" w:rsidRDefault="00296B6A" w:rsidP="00296B6A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Calibri Light"/>
          <w:sz w:val="22"/>
        </w:rPr>
      </w:pPr>
      <w:r w:rsidRPr="00103F17">
        <w:rPr>
          <w:rFonts w:asciiTheme="majorHAnsi" w:hAnsiTheme="majorHAnsi" w:cs="Calibri Light"/>
          <w:sz w:val="22"/>
        </w:rPr>
        <w:t>Pete Webster</w:t>
      </w:r>
    </w:p>
    <w:p w:rsidR="00296B6A" w:rsidRPr="00103F17" w:rsidRDefault="00296B6A" w:rsidP="00296B6A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Calibri Light"/>
          <w:sz w:val="22"/>
        </w:rPr>
      </w:pPr>
      <w:r w:rsidRPr="00103F17">
        <w:rPr>
          <w:rFonts w:asciiTheme="majorHAnsi" w:hAnsiTheme="majorHAnsi" w:cs="Calibri Light"/>
          <w:sz w:val="22"/>
        </w:rPr>
        <w:t>Jo Woodbridge; Saint Mary’s University</w:t>
      </w:r>
    </w:p>
    <w:p w:rsidR="00296B6A" w:rsidRPr="00103F17" w:rsidRDefault="00296B6A" w:rsidP="00296B6A">
      <w:pPr>
        <w:tabs>
          <w:tab w:val="left" w:pos="284"/>
        </w:tabs>
        <w:spacing w:before="120"/>
        <w:jc w:val="both"/>
        <w:rPr>
          <w:rFonts w:asciiTheme="majorHAnsi" w:hAnsiTheme="majorHAnsi" w:cs="Calibri Light"/>
          <w:b/>
          <w:sz w:val="22"/>
          <w:szCs w:val="22"/>
          <w:u w:val="single"/>
        </w:rPr>
        <w:sectPr w:rsidR="00296B6A" w:rsidRPr="00103F17">
          <w:type w:val="continuous"/>
          <w:pgSz w:w="11906" w:h="16838"/>
          <w:pgMar w:top="720" w:right="720" w:bottom="720" w:left="1560" w:header="708" w:footer="708" w:gutter="0"/>
          <w:docGrid w:linePitch="360"/>
        </w:sectPr>
      </w:pPr>
    </w:p>
    <w:p w:rsidR="00296B6A" w:rsidRPr="00103F17" w:rsidRDefault="00296B6A" w:rsidP="00296B6A">
      <w:pPr>
        <w:tabs>
          <w:tab w:val="left" w:pos="284"/>
        </w:tabs>
        <w:spacing w:before="120"/>
        <w:ind w:hanging="426"/>
        <w:jc w:val="both"/>
        <w:rPr>
          <w:rFonts w:asciiTheme="majorHAnsi" w:hAnsiTheme="majorHAnsi" w:cs="Calibri Light"/>
          <w:b/>
          <w:sz w:val="22"/>
          <w:szCs w:val="22"/>
          <w:u w:val="single"/>
        </w:rPr>
      </w:pPr>
    </w:p>
    <w:p w:rsidR="001256D4" w:rsidRDefault="001256D4" w:rsidP="00296B6A">
      <w:pPr>
        <w:tabs>
          <w:tab w:val="left" w:pos="0"/>
          <w:tab w:val="left" w:pos="284"/>
        </w:tabs>
        <w:spacing w:before="120"/>
        <w:rPr>
          <w:rFonts w:asciiTheme="majorHAnsi" w:hAnsiTheme="majorHAnsi" w:cs="Calibri Light"/>
          <w:b/>
          <w:sz w:val="22"/>
          <w:szCs w:val="22"/>
          <w:u w:val="single"/>
        </w:rPr>
      </w:pPr>
    </w:p>
    <w:p w:rsidR="00296B6A" w:rsidRPr="00103F17" w:rsidRDefault="00296B6A" w:rsidP="00296B6A">
      <w:pPr>
        <w:tabs>
          <w:tab w:val="left" w:pos="0"/>
          <w:tab w:val="left" w:pos="284"/>
        </w:tabs>
        <w:spacing w:before="120"/>
        <w:rPr>
          <w:rFonts w:asciiTheme="majorHAnsi" w:hAnsiTheme="majorHAnsi" w:cs="Calibri Light"/>
          <w:color w:val="FF0000"/>
          <w:sz w:val="22"/>
          <w:szCs w:val="22"/>
        </w:rPr>
      </w:pPr>
      <w:r w:rsidRPr="00103F17">
        <w:rPr>
          <w:rFonts w:asciiTheme="majorHAnsi" w:hAnsiTheme="majorHAnsi" w:cs="Calibri Light"/>
          <w:b/>
          <w:sz w:val="22"/>
          <w:szCs w:val="22"/>
        </w:rPr>
        <w:t>1/17 Welcome from Sharon Hodgson MP:</w:t>
      </w:r>
      <w:r w:rsidRPr="00103F17">
        <w:rPr>
          <w:rFonts w:asciiTheme="majorHAnsi" w:hAnsiTheme="majorHAnsi" w:cs="Calibri Light"/>
          <w:sz w:val="22"/>
          <w:szCs w:val="22"/>
        </w:rPr>
        <w:t xml:space="preserve"> Sharon Hodgson thanked everyone for </w:t>
      </w:r>
      <w:r>
        <w:rPr>
          <w:rFonts w:asciiTheme="majorHAnsi" w:hAnsiTheme="majorHAnsi" w:cs="Calibri Light"/>
          <w:sz w:val="22"/>
          <w:szCs w:val="22"/>
        </w:rPr>
        <w:t>attend</w:t>
      </w:r>
      <w:r w:rsidR="00F8731E">
        <w:rPr>
          <w:rFonts w:asciiTheme="majorHAnsi" w:hAnsiTheme="majorHAnsi" w:cs="Calibri Light"/>
          <w:sz w:val="22"/>
          <w:szCs w:val="22"/>
        </w:rPr>
        <w:t>ing the meeting</w:t>
      </w:r>
      <w:r w:rsidRPr="00103F17">
        <w:rPr>
          <w:rFonts w:asciiTheme="majorHAnsi" w:hAnsiTheme="majorHAnsi" w:cs="Calibri Light"/>
          <w:sz w:val="22"/>
          <w:szCs w:val="22"/>
        </w:rPr>
        <w:t>. Introductions followed.</w:t>
      </w:r>
    </w:p>
    <w:p w:rsidR="00296B6A" w:rsidRPr="00103F17" w:rsidRDefault="00296B6A" w:rsidP="00296B6A">
      <w:pPr>
        <w:tabs>
          <w:tab w:val="left" w:pos="-284"/>
          <w:tab w:val="left" w:pos="284"/>
        </w:tabs>
        <w:spacing w:before="120"/>
        <w:rPr>
          <w:rFonts w:asciiTheme="majorHAnsi" w:hAnsiTheme="majorHAnsi" w:cs="Calibri Light"/>
          <w:sz w:val="22"/>
          <w:szCs w:val="22"/>
        </w:rPr>
      </w:pPr>
      <w:r w:rsidRPr="00103F17">
        <w:rPr>
          <w:rFonts w:asciiTheme="majorHAnsi" w:hAnsiTheme="majorHAnsi" w:cs="Calibri Light"/>
          <w:b/>
          <w:sz w:val="22"/>
          <w:szCs w:val="22"/>
        </w:rPr>
        <w:t xml:space="preserve">2/17 An introduction to the issues affecting recruitment and retention in ITE for art, craft and design: </w:t>
      </w:r>
      <w:r w:rsidRPr="00103F17">
        <w:rPr>
          <w:rFonts w:asciiTheme="majorHAnsi" w:hAnsiTheme="majorHAnsi" w:cs="Calibri Light"/>
          <w:sz w:val="22"/>
          <w:szCs w:val="22"/>
        </w:rPr>
        <w:t xml:space="preserve"> Lesley Butterworth, (LB) outlined </w:t>
      </w:r>
      <w:proofErr w:type="spellStart"/>
      <w:r w:rsidRPr="00103F17">
        <w:rPr>
          <w:rFonts w:asciiTheme="majorHAnsi" w:hAnsiTheme="majorHAnsi" w:cs="Calibri Light"/>
          <w:sz w:val="22"/>
          <w:szCs w:val="22"/>
        </w:rPr>
        <w:t>NSEAD’s</w:t>
      </w:r>
      <w:proofErr w:type="spellEnd"/>
      <w:r w:rsidRPr="00103F17">
        <w:rPr>
          <w:rFonts w:asciiTheme="majorHAnsi" w:hAnsiTheme="majorHAnsi" w:cs="Calibri Light"/>
          <w:sz w:val="22"/>
          <w:szCs w:val="22"/>
        </w:rPr>
        <w:t xml:space="preserve"> commitment to Initial Teacher Education (ITE) which </w:t>
      </w:r>
      <w:r>
        <w:rPr>
          <w:rFonts w:asciiTheme="majorHAnsi" w:hAnsiTheme="majorHAnsi" w:cs="Calibri Light"/>
          <w:sz w:val="22"/>
          <w:szCs w:val="22"/>
        </w:rPr>
        <w:t>has always been</w:t>
      </w:r>
      <w:r w:rsidRPr="00103F17">
        <w:rPr>
          <w:rFonts w:asciiTheme="majorHAnsi" w:hAnsiTheme="majorHAnsi" w:cs="Calibri Light"/>
          <w:sz w:val="22"/>
          <w:szCs w:val="22"/>
        </w:rPr>
        <w:t xml:space="preserve"> at the centre of the Society’s work</w:t>
      </w:r>
      <w:r>
        <w:rPr>
          <w:rFonts w:asciiTheme="majorHAnsi" w:hAnsiTheme="majorHAnsi" w:cs="Calibri Light"/>
          <w:sz w:val="22"/>
          <w:szCs w:val="22"/>
        </w:rPr>
        <w:t>. LB confirmed that r</w:t>
      </w:r>
      <w:r w:rsidRPr="00103F17">
        <w:rPr>
          <w:rFonts w:asciiTheme="majorHAnsi" w:hAnsiTheme="majorHAnsi" w:cs="Calibri Light"/>
          <w:sz w:val="22"/>
          <w:szCs w:val="22"/>
        </w:rPr>
        <w:t>ecent</w:t>
      </w:r>
      <w:r w:rsidR="00F8731E">
        <w:rPr>
          <w:rFonts w:asciiTheme="majorHAnsi" w:hAnsiTheme="majorHAnsi" w:cs="Calibri Light"/>
          <w:sz w:val="22"/>
          <w:szCs w:val="22"/>
        </w:rPr>
        <w:t xml:space="preserve"> ITE</w:t>
      </w:r>
      <w:r w:rsidRPr="00103F17">
        <w:rPr>
          <w:rFonts w:asciiTheme="majorHAnsi" w:hAnsiTheme="majorHAnsi" w:cs="Calibri Light"/>
          <w:sz w:val="22"/>
          <w:szCs w:val="22"/>
        </w:rPr>
        <w:t xml:space="preserve"> changes and concerns ha</w:t>
      </w:r>
      <w:r>
        <w:rPr>
          <w:rFonts w:asciiTheme="majorHAnsi" w:hAnsiTheme="majorHAnsi" w:cs="Calibri Light"/>
          <w:sz w:val="22"/>
          <w:szCs w:val="22"/>
        </w:rPr>
        <w:t>d</w:t>
      </w:r>
      <w:r w:rsidRPr="00103F17">
        <w:rPr>
          <w:rFonts w:asciiTheme="majorHAnsi" w:hAnsiTheme="majorHAnsi" w:cs="Calibri Light"/>
          <w:sz w:val="22"/>
          <w:szCs w:val="22"/>
        </w:rPr>
        <w:t xml:space="preserve"> led to </w:t>
      </w:r>
      <w:r>
        <w:rPr>
          <w:rFonts w:asciiTheme="majorHAnsi" w:hAnsiTheme="majorHAnsi" w:cs="Calibri Light"/>
          <w:sz w:val="22"/>
          <w:szCs w:val="22"/>
        </w:rPr>
        <w:t>NSEAD</w:t>
      </w:r>
      <w:r w:rsidRPr="00103F17">
        <w:rPr>
          <w:rFonts w:asciiTheme="majorHAnsi" w:hAnsiTheme="majorHAnsi" w:cs="Calibri Light"/>
          <w:sz w:val="22"/>
          <w:szCs w:val="22"/>
        </w:rPr>
        <w:t xml:space="preserve"> setting up a</w:t>
      </w:r>
      <w:r>
        <w:rPr>
          <w:rFonts w:asciiTheme="majorHAnsi" w:hAnsiTheme="majorHAnsi" w:cs="Calibri Light"/>
          <w:sz w:val="22"/>
          <w:szCs w:val="22"/>
        </w:rPr>
        <w:t>n</w:t>
      </w:r>
      <w:r w:rsidRPr="00103F17">
        <w:rPr>
          <w:rFonts w:asciiTheme="majorHAnsi" w:hAnsiTheme="majorHAnsi" w:cs="Calibri Light"/>
          <w:sz w:val="22"/>
          <w:szCs w:val="22"/>
        </w:rPr>
        <w:t xml:space="preserve"> </w:t>
      </w:r>
      <w:r>
        <w:rPr>
          <w:rFonts w:asciiTheme="majorHAnsi" w:hAnsiTheme="majorHAnsi" w:cs="Calibri Light"/>
          <w:sz w:val="22"/>
          <w:szCs w:val="22"/>
        </w:rPr>
        <w:t xml:space="preserve">ITE </w:t>
      </w:r>
      <w:r w:rsidRPr="00103F17">
        <w:rPr>
          <w:rFonts w:asciiTheme="majorHAnsi" w:hAnsiTheme="majorHAnsi" w:cs="Calibri Light"/>
          <w:sz w:val="22"/>
          <w:szCs w:val="22"/>
        </w:rPr>
        <w:t xml:space="preserve">Special Interest Group (SIG). LB welcomed the opportunity to bring together the </w:t>
      </w:r>
      <w:r w:rsidR="00F8731E">
        <w:rPr>
          <w:rFonts w:asciiTheme="majorHAnsi" w:hAnsiTheme="majorHAnsi" w:cs="Calibri Light"/>
          <w:sz w:val="22"/>
          <w:szCs w:val="22"/>
        </w:rPr>
        <w:t xml:space="preserve">ITE </w:t>
      </w:r>
      <w:r w:rsidRPr="00103F17">
        <w:rPr>
          <w:rFonts w:asciiTheme="majorHAnsi" w:hAnsiTheme="majorHAnsi" w:cs="Calibri Light"/>
          <w:sz w:val="22"/>
          <w:szCs w:val="22"/>
        </w:rPr>
        <w:t xml:space="preserve">audience </w:t>
      </w:r>
      <w:r>
        <w:rPr>
          <w:rFonts w:asciiTheme="majorHAnsi" w:hAnsiTheme="majorHAnsi" w:cs="Calibri Light"/>
          <w:sz w:val="22"/>
          <w:szCs w:val="22"/>
        </w:rPr>
        <w:t>together</w:t>
      </w:r>
      <w:r w:rsidRPr="00103F17">
        <w:rPr>
          <w:rFonts w:asciiTheme="majorHAnsi" w:hAnsiTheme="majorHAnsi" w:cs="Calibri Light"/>
          <w:sz w:val="22"/>
          <w:szCs w:val="22"/>
        </w:rPr>
        <w:t xml:space="preserve"> in order to share concerns and prioritise plans for future action. </w:t>
      </w:r>
    </w:p>
    <w:p w:rsidR="00296B6A" w:rsidRPr="00103F17" w:rsidRDefault="00296B6A" w:rsidP="00296B6A">
      <w:pPr>
        <w:tabs>
          <w:tab w:val="left" w:pos="-284"/>
          <w:tab w:val="left" w:pos="284"/>
        </w:tabs>
        <w:spacing w:before="120"/>
        <w:rPr>
          <w:rFonts w:asciiTheme="majorHAnsi" w:hAnsiTheme="majorHAnsi" w:cs="Calibri Light"/>
          <w:sz w:val="22"/>
          <w:szCs w:val="22"/>
        </w:rPr>
      </w:pPr>
      <w:r>
        <w:rPr>
          <w:rFonts w:asciiTheme="majorHAnsi" w:hAnsiTheme="majorHAnsi" w:cs="Calibri Light"/>
          <w:b/>
          <w:sz w:val="22"/>
          <w:szCs w:val="22"/>
        </w:rPr>
        <w:t>Action points</w:t>
      </w:r>
      <w:r w:rsidRPr="00103F17">
        <w:rPr>
          <w:rFonts w:asciiTheme="majorHAnsi" w:hAnsiTheme="majorHAnsi" w:cs="Calibri Light"/>
          <w:b/>
          <w:sz w:val="22"/>
          <w:szCs w:val="22"/>
        </w:rPr>
        <w:t>:</w:t>
      </w:r>
      <w:r w:rsidRPr="00103F17">
        <w:rPr>
          <w:rFonts w:asciiTheme="majorHAnsi" w:hAnsiTheme="majorHAnsi" w:cs="Calibri Light"/>
          <w:sz w:val="22"/>
          <w:szCs w:val="22"/>
        </w:rPr>
        <w:t xml:space="preserve"> T</w:t>
      </w:r>
      <w:r>
        <w:rPr>
          <w:rFonts w:asciiTheme="majorHAnsi" w:hAnsiTheme="majorHAnsi" w:cs="Calibri Light"/>
          <w:sz w:val="22"/>
          <w:szCs w:val="22"/>
        </w:rPr>
        <w:t>he APPG agreed to</w:t>
      </w:r>
      <w:r w:rsidRPr="00103F17">
        <w:rPr>
          <w:rFonts w:asciiTheme="majorHAnsi" w:hAnsiTheme="majorHAnsi" w:cs="Calibri Light"/>
          <w:sz w:val="22"/>
          <w:szCs w:val="22"/>
        </w:rPr>
        <w:t xml:space="preserve"> support the work of the ITE SIG and </w:t>
      </w:r>
      <w:r>
        <w:rPr>
          <w:rFonts w:asciiTheme="majorHAnsi" w:hAnsiTheme="majorHAnsi" w:cs="Calibri Light"/>
          <w:sz w:val="22"/>
          <w:szCs w:val="22"/>
        </w:rPr>
        <w:t xml:space="preserve">NSEAD agreed </w:t>
      </w:r>
      <w:r w:rsidRPr="00103F17">
        <w:rPr>
          <w:rFonts w:asciiTheme="majorHAnsi" w:hAnsiTheme="majorHAnsi" w:cs="Calibri Light"/>
          <w:sz w:val="22"/>
          <w:szCs w:val="22"/>
        </w:rPr>
        <w:t>to update the APPG on priorities and future course of actions.</w:t>
      </w:r>
    </w:p>
    <w:p w:rsidR="00296B6A" w:rsidRPr="00103F17" w:rsidRDefault="00296B6A" w:rsidP="00296B6A">
      <w:pPr>
        <w:tabs>
          <w:tab w:val="left" w:pos="0"/>
          <w:tab w:val="left" w:pos="284"/>
        </w:tabs>
        <w:spacing w:before="120"/>
        <w:rPr>
          <w:rFonts w:asciiTheme="majorHAnsi" w:hAnsiTheme="majorHAnsi" w:cs="Calibri Light"/>
          <w:sz w:val="22"/>
          <w:szCs w:val="22"/>
        </w:rPr>
      </w:pPr>
      <w:r w:rsidRPr="00103F17">
        <w:rPr>
          <w:rFonts w:asciiTheme="majorHAnsi" w:hAnsiTheme="majorHAnsi" w:cs="Calibri Light"/>
          <w:b/>
          <w:sz w:val="22"/>
          <w:szCs w:val="22"/>
        </w:rPr>
        <w:t xml:space="preserve">3/17 </w:t>
      </w:r>
      <w:r w:rsidRPr="00103F17">
        <w:rPr>
          <w:rFonts w:asciiTheme="majorHAnsi" w:hAnsiTheme="majorHAnsi" w:cs="Calibri Light"/>
          <w:b/>
          <w:sz w:val="22"/>
          <w:szCs w:val="28"/>
        </w:rPr>
        <w:t>The challenges faced by the next generation of art and design teachers and their motivations for committing to ‘the best career in the world</w:t>
      </w:r>
      <w:r>
        <w:rPr>
          <w:rFonts w:asciiTheme="majorHAnsi" w:hAnsiTheme="majorHAnsi" w:cs="Calibri Light"/>
          <w:b/>
          <w:sz w:val="22"/>
          <w:szCs w:val="28"/>
        </w:rPr>
        <w:t>’:</w:t>
      </w:r>
      <w:r w:rsidRPr="00103F17">
        <w:rPr>
          <w:rFonts w:asciiTheme="majorHAnsi" w:hAnsiTheme="majorHAnsi" w:cs="Calibri Light"/>
          <w:b/>
          <w:sz w:val="22"/>
          <w:szCs w:val="28"/>
        </w:rPr>
        <w:t xml:space="preserve"> </w:t>
      </w:r>
      <w:r w:rsidRPr="00103F17">
        <w:rPr>
          <w:rFonts w:asciiTheme="majorHAnsi" w:hAnsiTheme="majorHAnsi" w:cs="Calibri Light"/>
          <w:sz w:val="22"/>
          <w:szCs w:val="22"/>
        </w:rPr>
        <w:t xml:space="preserve">Sophie Cole (SC), Programme Leader PGCE Secondary Art, Craft and Design, Northumbria University, outlined current concerns, including </w:t>
      </w:r>
      <w:r>
        <w:rPr>
          <w:rFonts w:asciiTheme="majorHAnsi" w:hAnsiTheme="majorHAnsi" w:cs="Calibri Light"/>
          <w:sz w:val="22"/>
          <w:szCs w:val="22"/>
        </w:rPr>
        <w:t>inequalities</w:t>
      </w:r>
      <w:r w:rsidRPr="00103F17">
        <w:rPr>
          <w:rFonts w:asciiTheme="majorHAnsi" w:hAnsiTheme="majorHAnsi" w:cs="Calibri Light"/>
          <w:sz w:val="22"/>
          <w:szCs w:val="22"/>
        </w:rPr>
        <w:t xml:space="preserve"> in the system for</w:t>
      </w:r>
      <w:r>
        <w:rPr>
          <w:rFonts w:asciiTheme="majorHAnsi" w:hAnsiTheme="majorHAnsi" w:cs="Calibri Light"/>
          <w:sz w:val="22"/>
          <w:szCs w:val="22"/>
        </w:rPr>
        <w:t xml:space="preserve"> art and design trainee</w:t>
      </w:r>
      <w:r w:rsidRPr="00103F17">
        <w:rPr>
          <w:rFonts w:asciiTheme="majorHAnsi" w:hAnsiTheme="majorHAnsi" w:cs="Calibri Light"/>
          <w:sz w:val="22"/>
          <w:szCs w:val="22"/>
        </w:rPr>
        <w:t xml:space="preserve"> recruitment, including large bursaries for some subjects and no bursary for a</w:t>
      </w:r>
      <w:r>
        <w:rPr>
          <w:rFonts w:asciiTheme="majorHAnsi" w:hAnsiTheme="majorHAnsi" w:cs="Calibri Light"/>
          <w:sz w:val="22"/>
          <w:szCs w:val="22"/>
        </w:rPr>
        <w:t xml:space="preserve">rt </w:t>
      </w:r>
      <w:r w:rsidRPr="00103F17">
        <w:rPr>
          <w:rFonts w:asciiTheme="majorHAnsi" w:hAnsiTheme="majorHAnsi" w:cs="Calibri Light"/>
          <w:sz w:val="22"/>
          <w:szCs w:val="22"/>
        </w:rPr>
        <w:t xml:space="preserve">and design trainees. SC was however able to celebrate and showcase the positives about the Northumbria University course, and how the support of schools, mentors, galleries and museums has made a difference to the </w:t>
      </w:r>
      <w:r>
        <w:rPr>
          <w:rFonts w:asciiTheme="majorHAnsi" w:hAnsiTheme="majorHAnsi" w:cs="Calibri Light"/>
          <w:sz w:val="22"/>
          <w:szCs w:val="22"/>
        </w:rPr>
        <w:t xml:space="preserve">course and their </w:t>
      </w:r>
      <w:r w:rsidRPr="00103F17">
        <w:rPr>
          <w:rFonts w:asciiTheme="majorHAnsi" w:hAnsiTheme="majorHAnsi" w:cs="Calibri Light"/>
          <w:sz w:val="22"/>
          <w:szCs w:val="22"/>
        </w:rPr>
        <w:t>trainees. SC also noted that s</w:t>
      </w:r>
      <w:r>
        <w:rPr>
          <w:rFonts w:asciiTheme="majorHAnsi" w:hAnsiTheme="majorHAnsi" w:cs="Calibri Light"/>
          <w:sz w:val="22"/>
          <w:szCs w:val="22"/>
        </w:rPr>
        <w:t xml:space="preserve">tudents bring </w:t>
      </w:r>
      <w:r w:rsidRPr="00103F17">
        <w:rPr>
          <w:rFonts w:asciiTheme="majorHAnsi" w:hAnsiTheme="majorHAnsi" w:cs="Calibri Light"/>
          <w:sz w:val="22"/>
          <w:szCs w:val="22"/>
        </w:rPr>
        <w:t>fresh perspective</w:t>
      </w:r>
      <w:r>
        <w:rPr>
          <w:rFonts w:asciiTheme="majorHAnsi" w:hAnsiTheme="majorHAnsi" w:cs="Calibri Light"/>
          <w:sz w:val="22"/>
          <w:szCs w:val="22"/>
        </w:rPr>
        <w:t>s</w:t>
      </w:r>
      <w:r w:rsidRPr="00103F17">
        <w:rPr>
          <w:rFonts w:asciiTheme="majorHAnsi" w:hAnsiTheme="majorHAnsi" w:cs="Calibri Light"/>
          <w:sz w:val="22"/>
          <w:szCs w:val="22"/>
        </w:rPr>
        <w:t xml:space="preserve"> to </w:t>
      </w:r>
      <w:r>
        <w:rPr>
          <w:rFonts w:asciiTheme="majorHAnsi" w:hAnsiTheme="majorHAnsi" w:cs="Calibri Light"/>
          <w:sz w:val="22"/>
          <w:szCs w:val="22"/>
        </w:rPr>
        <w:t xml:space="preserve">art and design </w:t>
      </w:r>
      <w:r w:rsidRPr="00103F17">
        <w:rPr>
          <w:rFonts w:asciiTheme="majorHAnsi" w:hAnsiTheme="majorHAnsi" w:cs="Calibri Light"/>
          <w:sz w:val="22"/>
          <w:szCs w:val="22"/>
        </w:rPr>
        <w:t xml:space="preserve">departments in schools. Samantha Fairbairn and Henna </w:t>
      </w:r>
      <w:proofErr w:type="spellStart"/>
      <w:r w:rsidRPr="00103F17">
        <w:rPr>
          <w:rFonts w:asciiTheme="majorHAnsi" w:hAnsiTheme="majorHAnsi" w:cs="Calibri Light"/>
          <w:sz w:val="22"/>
          <w:szCs w:val="22"/>
        </w:rPr>
        <w:t>Javed</w:t>
      </w:r>
      <w:proofErr w:type="spellEnd"/>
      <w:r w:rsidRPr="00103F17">
        <w:rPr>
          <w:rFonts w:asciiTheme="majorHAnsi" w:hAnsiTheme="majorHAnsi" w:cs="Calibri Light"/>
          <w:sz w:val="22"/>
          <w:szCs w:val="22"/>
        </w:rPr>
        <w:t>, both trainee art and design teachers from Northumbria University</w:t>
      </w:r>
      <w:r>
        <w:rPr>
          <w:rFonts w:asciiTheme="majorHAnsi" w:hAnsiTheme="majorHAnsi" w:cs="Calibri Light"/>
          <w:sz w:val="22"/>
          <w:szCs w:val="22"/>
        </w:rPr>
        <w:t>,</w:t>
      </w:r>
      <w:r w:rsidRPr="00103F17">
        <w:rPr>
          <w:rFonts w:asciiTheme="majorHAnsi" w:hAnsiTheme="majorHAnsi" w:cs="Calibri Light"/>
          <w:sz w:val="22"/>
          <w:szCs w:val="22"/>
        </w:rPr>
        <w:t xml:space="preserve"> co-presented </w:t>
      </w:r>
      <w:r>
        <w:rPr>
          <w:rFonts w:asciiTheme="majorHAnsi" w:hAnsiTheme="majorHAnsi" w:cs="Calibri Light"/>
          <w:sz w:val="22"/>
          <w:szCs w:val="22"/>
        </w:rPr>
        <w:t xml:space="preserve">their </w:t>
      </w:r>
      <w:r w:rsidRPr="00103F17">
        <w:rPr>
          <w:rFonts w:asciiTheme="majorHAnsi" w:hAnsiTheme="majorHAnsi" w:cs="Calibri Light"/>
          <w:sz w:val="22"/>
          <w:szCs w:val="22"/>
        </w:rPr>
        <w:t xml:space="preserve">rationale for </w:t>
      </w:r>
      <w:r>
        <w:rPr>
          <w:rFonts w:asciiTheme="majorHAnsi" w:hAnsiTheme="majorHAnsi" w:cs="Calibri Light"/>
          <w:sz w:val="22"/>
          <w:szCs w:val="22"/>
        </w:rPr>
        <w:t>entering the profession and their</w:t>
      </w:r>
      <w:r w:rsidRPr="00103F17">
        <w:rPr>
          <w:rFonts w:asciiTheme="majorHAnsi" w:hAnsiTheme="majorHAnsi" w:cs="Calibri Light"/>
          <w:sz w:val="22"/>
          <w:szCs w:val="22"/>
        </w:rPr>
        <w:t xml:space="preserve"> own school and university experiences. </w:t>
      </w:r>
      <w:r>
        <w:rPr>
          <w:rFonts w:asciiTheme="majorHAnsi" w:hAnsiTheme="majorHAnsi" w:cs="Calibri Light"/>
          <w:sz w:val="22"/>
          <w:szCs w:val="22"/>
        </w:rPr>
        <w:t>The transcripts</w:t>
      </w:r>
      <w:r w:rsidRPr="00103F17">
        <w:rPr>
          <w:rFonts w:asciiTheme="majorHAnsi" w:hAnsiTheme="majorHAnsi" w:cs="Calibri Light"/>
          <w:sz w:val="22"/>
          <w:szCs w:val="22"/>
        </w:rPr>
        <w:t xml:space="preserve"> transcript can</w:t>
      </w:r>
      <w:r>
        <w:rPr>
          <w:rFonts w:asciiTheme="majorHAnsi" w:hAnsiTheme="majorHAnsi" w:cs="Calibri Light"/>
          <w:sz w:val="22"/>
          <w:szCs w:val="22"/>
        </w:rPr>
        <w:t xml:space="preserve"> be</w:t>
      </w:r>
      <w:r w:rsidRPr="00103F17">
        <w:rPr>
          <w:rFonts w:asciiTheme="majorHAnsi" w:hAnsiTheme="majorHAnsi" w:cs="Calibri Light"/>
          <w:sz w:val="22"/>
          <w:szCs w:val="22"/>
        </w:rPr>
        <w:t xml:space="preserve"> </w:t>
      </w:r>
      <w:r>
        <w:rPr>
          <w:rFonts w:asciiTheme="majorHAnsi" w:hAnsiTheme="majorHAnsi" w:cs="Calibri Light"/>
          <w:sz w:val="22"/>
          <w:szCs w:val="22"/>
        </w:rPr>
        <w:t>read</w:t>
      </w:r>
      <w:r w:rsidRPr="00103F17">
        <w:rPr>
          <w:rFonts w:asciiTheme="majorHAnsi" w:hAnsiTheme="majorHAnsi" w:cs="Calibri Light"/>
          <w:sz w:val="22"/>
          <w:szCs w:val="22"/>
        </w:rPr>
        <w:t xml:space="preserve"> here: </w:t>
      </w:r>
      <w:hyperlink r:id="rId6" w:history="1">
        <w:proofErr w:type="spellStart"/>
        <w:r w:rsidRPr="00103F17">
          <w:rPr>
            <w:rStyle w:val="Hyperlink"/>
            <w:rFonts w:asciiTheme="majorHAnsi" w:hAnsiTheme="majorHAnsi" w:cs="Calibri Light"/>
            <w:sz w:val="22"/>
            <w:szCs w:val="22"/>
          </w:rPr>
          <w:t>www.nsead.org/APPG/papers.aspx</w:t>
        </w:r>
        <w:proofErr w:type="spellEnd"/>
      </w:hyperlink>
      <w:r w:rsidRPr="00103F17">
        <w:rPr>
          <w:rFonts w:asciiTheme="majorHAnsi" w:hAnsiTheme="majorHAnsi" w:cs="Calibri Light"/>
          <w:sz w:val="22"/>
          <w:szCs w:val="22"/>
        </w:rPr>
        <w:t xml:space="preserve"> </w:t>
      </w:r>
    </w:p>
    <w:p w:rsidR="00296B6A" w:rsidRPr="00103F17" w:rsidRDefault="00296B6A" w:rsidP="00296B6A">
      <w:pPr>
        <w:tabs>
          <w:tab w:val="left" w:pos="0"/>
          <w:tab w:val="left" w:pos="284"/>
        </w:tabs>
        <w:spacing w:before="120"/>
        <w:rPr>
          <w:rFonts w:asciiTheme="majorHAnsi" w:hAnsiTheme="majorHAnsi" w:cs="Calibri Light"/>
          <w:sz w:val="22"/>
          <w:szCs w:val="22"/>
        </w:rPr>
      </w:pPr>
      <w:r>
        <w:rPr>
          <w:rFonts w:asciiTheme="majorHAnsi" w:hAnsiTheme="majorHAnsi" w:cs="Calibri Light"/>
          <w:b/>
          <w:sz w:val="22"/>
          <w:szCs w:val="22"/>
        </w:rPr>
        <w:t>Action points</w:t>
      </w:r>
      <w:r w:rsidRPr="00103F17">
        <w:rPr>
          <w:rFonts w:asciiTheme="majorHAnsi" w:hAnsiTheme="majorHAnsi" w:cs="Calibri Light"/>
          <w:b/>
          <w:sz w:val="22"/>
          <w:szCs w:val="22"/>
        </w:rPr>
        <w:t>:</w:t>
      </w:r>
      <w:r w:rsidRPr="00103F17">
        <w:rPr>
          <w:rFonts w:asciiTheme="majorHAnsi" w:hAnsiTheme="majorHAnsi" w:cs="Calibri Light"/>
          <w:sz w:val="22"/>
          <w:szCs w:val="22"/>
        </w:rPr>
        <w:t xml:space="preserve"> </w:t>
      </w:r>
      <w:r>
        <w:rPr>
          <w:rFonts w:asciiTheme="majorHAnsi" w:hAnsiTheme="majorHAnsi" w:cs="Calibri Light"/>
          <w:sz w:val="22"/>
          <w:szCs w:val="22"/>
        </w:rPr>
        <w:t>For the ITE community, across all phases, sectors and providers, to</w:t>
      </w:r>
      <w:r w:rsidRPr="00103F17">
        <w:rPr>
          <w:rFonts w:asciiTheme="majorHAnsi" w:hAnsiTheme="majorHAnsi" w:cs="Calibri Light"/>
          <w:sz w:val="22"/>
          <w:szCs w:val="22"/>
        </w:rPr>
        <w:t xml:space="preserve"> continue to raise the profile </w:t>
      </w:r>
      <w:r>
        <w:rPr>
          <w:rFonts w:asciiTheme="majorHAnsi" w:hAnsiTheme="majorHAnsi" w:cs="Calibri Light"/>
          <w:sz w:val="22"/>
          <w:szCs w:val="22"/>
        </w:rPr>
        <w:t>and</w:t>
      </w:r>
      <w:r w:rsidRPr="00103F17">
        <w:rPr>
          <w:rFonts w:asciiTheme="majorHAnsi" w:hAnsiTheme="majorHAnsi" w:cs="Calibri Light"/>
          <w:sz w:val="22"/>
          <w:szCs w:val="22"/>
        </w:rPr>
        <w:t xml:space="preserve"> benefits of </w:t>
      </w:r>
      <w:r>
        <w:rPr>
          <w:rFonts w:asciiTheme="majorHAnsi" w:hAnsiTheme="majorHAnsi" w:cs="Calibri Light"/>
          <w:sz w:val="22"/>
          <w:szCs w:val="22"/>
        </w:rPr>
        <w:t>a</w:t>
      </w:r>
      <w:r w:rsidRPr="00103F17">
        <w:rPr>
          <w:rFonts w:asciiTheme="majorHAnsi" w:hAnsiTheme="majorHAnsi" w:cs="Calibri Light"/>
          <w:sz w:val="22"/>
          <w:szCs w:val="22"/>
        </w:rPr>
        <w:t xml:space="preserve">rt, </w:t>
      </w:r>
      <w:r>
        <w:rPr>
          <w:rFonts w:asciiTheme="majorHAnsi" w:hAnsiTheme="majorHAnsi" w:cs="Calibri Light"/>
          <w:sz w:val="22"/>
          <w:szCs w:val="22"/>
        </w:rPr>
        <w:t>c</w:t>
      </w:r>
      <w:r w:rsidRPr="00103F17">
        <w:rPr>
          <w:rFonts w:asciiTheme="majorHAnsi" w:hAnsiTheme="majorHAnsi" w:cs="Calibri Light"/>
          <w:sz w:val="22"/>
          <w:szCs w:val="22"/>
        </w:rPr>
        <w:t xml:space="preserve">raft and </w:t>
      </w:r>
      <w:r>
        <w:rPr>
          <w:rFonts w:asciiTheme="majorHAnsi" w:hAnsiTheme="majorHAnsi" w:cs="Calibri Light"/>
          <w:sz w:val="22"/>
          <w:szCs w:val="22"/>
        </w:rPr>
        <w:t>d</w:t>
      </w:r>
      <w:r w:rsidRPr="00103F17">
        <w:rPr>
          <w:rFonts w:asciiTheme="majorHAnsi" w:hAnsiTheme="majorHAnsi" w:cs="Calibri Light"/>
          <w:sz w:val="22"/>
          <w:szCs w:val="22"/>
        </w:rPr>
        <w:t>esign</w:t>
      </w:r>
      <w:r>
        <w:rPr>
          <w:rFonts w:asciiTheme="majorHAnsi" w:hAnsiTheme="majorHAnsi" w:cs="Calibri Light"/>
          <w:sz w:val="22"/>
          <w:szCs w:val="22"/>
        </w:rPr>
        <w:t xml:space="preserve"> education.</w:t>
      </w:r>
    </w:p>
    <w:p w:rsidR="00296B6A" w:rsidRDefault="00296B6A" w:rsidP="00296B6A">
      <w:pPr>
        <w:tabs>
          <w:tab w:val="left" w:pos="0"/>
          <w:tab w:val="left" w:pos="284"/>
        </w:tabs>
        <w:spacing w:before="120"/>
        <w:rPr>
          <w:rFonts w:asciiTheme="majorHAnsi" w:hAnsiTheme="majorHAnsi" w:cs="Calibri Light"/>
          <w:sz w:val="22"/>
          <w:szCs w:val="22"/>
        </w:rPr>
      </w:pPr>
      <w:r w:rsidRPr="00A12D41">
        <w:rPr>
          <w:rFonts w:asciiTheme="majorHAnsi" w:hAnsiTheme="majorHAnsi" w:cs="Calibri Light"/>
          <w:b/>
          <w:sz w:val="22"/>
          <w:szCs w:val="22"/>
        </w:rPr>
        <w:t xml:space="preserve">4/17 </w:t>
      </w:r>
      <w:r>
        <w:rPr>
          <w:rFonts w:asciiTheme="majorHAnsi" w:hAnsiTheme="majorHAnsi" w:cs="Calibri Light"/>
          <w:b/>
          <w:sz w:val="22"/>
          <w:szCs w:val="22"/>
        </w:rPr>
        <w:t>Dr</w:t>
      </w:r>
      <w:r w:rsidR="001256D4">
        <w:rPr>
          <w:rFonts w:asciiTheme="majorHAnsi" w:hAnsiTheme="majorHAnsi" w:cs="Calibri Light"/>
          <w:b/>
          <w:sz w:val="22"/>
          <w:szCs w:val="22"/>
        </w:rPr>
        <w:t>.</w:t>
      </w:r>
      <w:r w:rsidRPr="00A12D41">
        <w:rPr>
          <w:rFonts w:asciiTheme="majorHAnsi" w:hAnsiTheme="majorHAnsi" w:cs="Calibri Light"/>
          <w:b/>
          <w:sz w:val="22"/>
          <w:szCs w:val="22"/>
        </w:rPr>
        <w:t xml:space="preserve"> Peter Gregory (Canterbury Christ Church University) </w:t>
      </w:r>
      <w:r>
        <w:rPr>
          <w:rFonts w:asciiTheme="majorHAnsi" w:hAnsiTheme="majorHAnsi" w:cs="Calibri Light"/>
          <w:b/>
          <w:sz w:val="22"/>
          <w:szCs w:val="22"/>
        </w:rPr>
        <w:t>a</w:t>
      </w:r>
      <w:r w:rsidRPr="00A12D41">
        <w:rPr>
          <w:rFonts w:asciiTheme="majorHAnsi" w:hAnsiTheme="majorHAnsi" w:cs="Calibri Light"/>
          <w:b/>
          <w:sz w:val="22"/>
          <w:szCs w:val="22"/>
        </w:rPr>
        <w:t xml:space="preserve"> provider </w:t>
      </w:r>
      <w:r>
        <w:rPr>
          <w:rFonts w:asciiTheme="majorHAnsi" w:hAnsiTheme="majorHAnsi" w:cs="Calibri Light"/>
          <w:b/>
          <w:sz w:val="22"/>
          <w:szCs w:val="22"/>
        </w:rPr>
        <w:t>perspective and</w:t>
      </w:r>
      <w:r w:rsidRPr="00A12D41">
        <w:rPr>
          <w:rFonts w:asciiTheme="majorHAnsi" w:hAnsiTheme="majorHAnsi" w:cs="Calibri Light"/>
          <w:b/>
          <w:sz w:val="22"/>
          <w:szCs w:val="22"/>
        </w:rPr>
        <w:t xml:space="preserve"> </w:t>
      </w:r>
      <w:r>
        <w:rPr>
          <w:rFonts w:asciiTheme="majorHAnsi" w:hAnsiTheme="majorHAnsi" w:cs="Calibri Light"/>
          <w:b/>
          <w:sz w:val="22"/>
          <w:szCs w:val="22"/>
        </w:rPr>
        <w:t>the</w:t>
      </w:r>
      <w:r w:rsidRPr="00A12D41">
        <w:rPr>
          <w:rFonts w:asciiTheme="majorHAnsi" w:hAnsiTheme="majorHAnsi" w:cs="Calibri Light"/>
          <w:b/>
          <w:sz w:val="22"/>
          <w:szCs w:val="22"/>
        </w:rPr>
        <w:t xml:space="preserve"> issues </w:t>
      </w:r>
      <w:r>
        <w:rPr>
          <w:rFonts w:asciiTheme="majorHAnsi" w:hAnsiTheme="majorHAnsi" w:cs="Calibri Light"/>
          <w:b/>
          <w:sz w:val="22"/>
          <w:szCs w:val="22"/>
        </w:rPr>
        <w:t>concerning</w:t>
      </w:r>
      <w:r w:rsidRPr="00A12D41">
        <w:rPr>
          <w:rFonts w:asciiTheme="majorHAnsi" w:hAnsiTheme="majorHAnsi" w:cs="Calibri Light"/>
          <w:b/>
          <w:sz w:val="22"/>
          <w:szCs w:val="22"/>
        </w:rPr>
        <w:t xml:space="preserve"> primary education </w:t>
      </w:r>
      <w:r>
        <w:rPr>
          <w:rFonts w:asciiTheme="majorHAnsi" w:hAnsiTheme="majorHAnsi" w:cs="Calibri Light"/>
          <w:b/>
          <w:sz w:val="22"/>
          <w:szCs w:val="22"/>
        </w:rPr>
        <w:t>ITE:</w:t>
      </w:r>
      <w:r w:rsidRPr="00A12D41">
        <w:rPr>
          <w:rFonts w:asciiTheme="majorHAnsi" w:hAnsiTheme="majorHAnsi" w:cs="Calibri Light"/>
          <w:b/>
          <w:sz w:val="22"/>
          <w:szCs w:val="22"/>
        </w:rPr>
        <w:t xml:space="preserve"> </w:t>
      </w:r>
      <w:r>
        <w:rPr>
          <w:rFonts w:asciiTheme="majorHAnsi" w:hAnsiTheme="majorHAnsi" w:cs="Calibri Light"/>
          <w:sz w:val="22"/>
          <w:szCs w:val="22"/>
        </w:rPr>
        <w:t xml:space="preserve">Peter </w:t>
      </w:r>
      <w:r w:rsidRPr="00103F17">
        <w:rPr>
          <w:rFonts w:asciiTheme="majorHAnsi" w:hAnsiTheme="majorHAnsi" w:cs="Calibri Light"/>
          <w:sz w:val="22"/>
          <w:szCs w:val="22"/>
        </w:rPr>
        <w:t>Gre</w:t>
      </w:r>
      <w:r>
        <w:rPr>
          <w:rFonts w:asciiTheme="majorHAnsi" w:hAnsiTheme="majorHAnsi" w:cs="Calibri Light"/>
          <w:sz w:val="22"/>
          <w:szCs w:val="22"/>
        </w:rPr>
        <w:t>gory (PG) entitled his presentation ‘</w:t>
      </w:r>
      <w:r w:rsidRPr="00103F17">
        <w:rPr>
          <w:rFonts w:asciiTheme="majorHAnsi" w:hAnsiTheme="majorHAnsi" w:cs="Calibri Light"/>
          <w:sz w:val="22"/>
          <w:szCs w:val="22"/>
        </w:rPr>
        <w:t>Art and Design in Primary ITE</w:t>
      </w:r>
      <w:r>
        <w:rPr>
          <w:rFonts w:asciiTheme="majorHAnsi" w:hAnsiTheme="majorHAnsi" w:cs="Calibri Light"/>
          <w:sz w:val="22"/>
          <w:szCs w:val="22"/>
        </w:rPr>
        <w:t>,</w:t>
      </w:r>
      <w:r w:rsidRPr="00103F17">
        <w:rPr>
          <w:rFonts w:asciiTheme="majorHAnsi" w:hAnsiTheme="majorHAnsi" w:cs="Calibri Light"/>
          <w:sz w:val="22"/>
          <w:szCs w:val="22"/>
        </w:rPr>
        <w:t xml:space="preserve"> or</w:t>
      </w:r>
      <w:r>
        <w:rPr>
          <w:rFonts w:asciiTheme="majorHAnsi" w:hAnsiTheme="majorHAnsi" w:cs="Calibri Light"/>
          <w:sz w:val="22"/>
          <w:szCs w:val="22"/>
        </w:rPr>
        <w:t>,</w:t>
      </w:r>
      <w:r w:rsidRPr="00103F17">
        <w:rPr>
          <w:rFonts w:asciiTheme="majorHAnsi" w:hAnsiTheme="majorHAnsi" w:cs="Calibri Light"/>
          <w:sz w:val="22"/>
          <w:szCs w:val="22"/>
        </w:rPr>
        <w:t xml:space="preserve"> how many minutes does it take to train a primary teacher in the subject?</w:t>
      </w:r>
      <w:r>
        <w:rPr>
          <w:rFonts w:asciiTheme="majorHAnsi" w:hAnsiTheme="majorHAnsi" w:cs="Calibri Light"/>
          <w:sz w:val="22"/>
          <w:szCs w:val="22"/>
        </w:rPr>
        <w:t xml:space="preserve">’ </w:t>
      </w:r>
      <w:proofErr w:type="spellStart"/>
      <w:r>
        <w:rPr>
          <w:rFonts w:asciiTheme="majorHAnsi" w:hAnsiTheme="majorHAnsi" w:cs="Calibri Light"/>
          <w:sz w:val="22"/>
          <w:szCs w:val="22"/>
        </w:rPr>
        <w:t>PG’s</w:t>
      </w:r>
      <w:proofErr w:type="spellEnd"/>
      <w:r>
        <w:rPr>
          <w:rFonts w:asciiTheme="majorHAnsi" w:hAnsiTheme="majorHAnsi" w:cs="Calibri Light"/>
          <w:sz w:val="22"/>
          <w:szCs w:val="22"/>
        </w:rPr>
        <w:t xml:space="preserve"> presentation </w:t>
      </w:r>
      <w:r w:rsidRPr="00103F17">
        <w:rPr>
          <w:rFonts w:asciiTheme="majorHAnsi" w:hAnsiTheme="majorHAnsi" w:cs="Calibri Light"/>
          <w:sz w:val="22"/>
          <w:szCs w:val="22"/>
        </w:rPr>
        <w:t xml:space="preserve">contextualised the current situation </w:t>
      </w:r>
      <w:r>
        <w:rPr>
          <w:rFonts w:asciiTheme="majorHAnsi" w:hAnsiTheme="majorHAnsi" w:cs="Calibri Light"/>
          <w:sz w:val="22"/>
          <w:szCs w:val="22"/>
        </w:rPr>
        <w:t>and indentified both the depletion in teaching hours for art and design and the reduction in centres offering specialist training in the subject. PG recommended the need</w:t>
      </w:r>
      <w:r w:rsidRPr="00103F17">
        <w:rPr>
          <w:rFonts w:asciiTheme="majorHAnsi" w:hAnsiTheme="majorHAnsi" w:cs="Calibri Light"/>
          <w:sz w:val="22"/>
          <w:szCs w:val="22"/>
        </w:rPr>
        <w:t xml:space="preserve"> </w:t>
      </w:r>
      <w:r>
        <w:rPr>
          <w:rFonts w:asciiTheme="majorHAnsi" w:hAnsiTheme="majorHAnsi" w:cs="Calibri Light"/>
          <w:sz w:val="22"/>
          <w:szCs w:val="22"/>
        </w:rPr>
        <w:t>for review and scoping of</w:t>
      </w:r>
      <w:r w:rsidRPr="00103F17">
        <w:rPr>
          <w:rFonts w:asciiTheme="majorHAnsi" w:hAnsiTheme="majorHAnsi" w:cs="Calibri Light"/>
          <w:sz w:val="22"/>
          <w:szCs w:val="22"/>
        </w:rPr>
        <w:t xml:space="preserve"> current </w:t>
      </w:r>
      <w:r>
        <w:rPr>
          <w:rFonts w:asciiTheme="majorHAnsi" w:hAnsiTheme="majorHAnsi" w:cs="Calibri Light"/>
          <w:sz w:val="22"/>
          <w:szCs w:val="22"/>
        </w:rPr>
        <w:t>ITE art and design provision</w:t>
      </w:r>
      <w:r w:rsidRPr="00103F17">
        <w:rPr>
          <w:rFonts w:asciiTheme="majorHAnsi" w:hAnsiTheme="majorHAnsi" w:cs="Calibri Light"/>
          <w:sz w:val="22"/>
          <w:szCs w:val="22"/>
        </w:rPr>
        <w:t xml:space="preserve">. </w:t>
      </w:r>
      <w:r>
        <w:rPr>
          <w:rFonts w:asciiTheme="majorHAnsi" w:hAnsiTheme="majorHAnsi" w:cs="Calibri Light"/>
          <w:sz w:val="22"/>
          <w:szCs w:val="22"/>
        </w:rPr>
        <w:t>The</w:t>
      </w:r>
      <w:r w:rsidRPr="00103F17">
        <w:rPr>
          <w:rFonts w:asciiTheme="majorHAnsi" w:hAnsiTheme="majorHAnsi" w:cs="Calibri Light"/>
          <w:sz w:val="22"/>
          <w:szCs w:val="22"/>
        </w:rPr>
        <w:t xml:space="preserve"> presentation can be viewed here</w:t>
      </w:r>
      <w:r w:rsidR="001256D4">
        <w:rPr>
          <w:rFonts w:asciiTheme="majorHAnsi" w:hAnsiTheme="majorHAnsi" w:cs="Calibri Light"/>
          <w:sz w:val="22"/>
          <w:szCs w:val="22"/>
        </w:rPr>
        <w:t>:</w:t>
      </w:r>
      <w:r w:rsidRPr="00103F17">
        <w:rPr>
          <w:rFonts w:asciiTheme="majorHAnsi" w:hAnsiTheme="majorHAnsi" w:cs="Calibri Light"/>
          <w:sz w:val="22"/>
          <w:szCs w:val="22"/>
        </w:rPr>
        <w:t xml:space="preserve"> </w:t>
      </w:r>
      <w:hyperlink r:id="rId7" w:history="1">
        <w:proofErr w:type="spellStart"/>
        <w:r w:rsidRPr="00103F17">
          <w:rPr>
            <w:rStyle w:val="Hyperlink"/>
            <w:rFonts w:asciiTheme="majorHAnsi" w:hAnsiTheme="majorHAnsi" w:cs="Calibri Light"/>
            <w:sz w:val="22"/>
            <w:szCs w:val="22"/>
          </w:rPr>
          <w:t>Dr_Peter_Gregory_presentation</w:t>
        </w:r>
        <w:proofErr w:type="gramStart"/>
        <w:r w:rsidRPr="00103F17">
          <w:rPr>
            <w:rStyle w:val="Hyperlink"/>
            <w:rFonts w:asciiTheme="majorHAnsi" w:hAnsiTheme="majorHAnsi" w:cs="Calibri Light"/>
            <w:sz w:val="22"/>
            <w:szCs w:val="22"/>
          </w:rPr>
          <w:t>,_</w:t>
        </w:r>
        <w:proofErr w:type="gramEnd"/>
        <w:r w:rsidRPr="00103F17">
          <w:rPr>
            <w:rStyle w:val="Hyperlink"/>
            <w:rFonts w:asciiTheme="majorHAnsi" w:hAnsiTheme="majorHAnsi" w:cs="Calibri Light"/>
            <w:sz w:val="22"/>
            <w:szCs w:val="22"/>
          </w:rPr>
          <w:t>Art_and_Design_in_primary_ITE.pdf</w:t>
        </w:r>
        <w:proofErr w:type="spellEnd"/>
      </w:hyperlink>
      <w:r w:rsidRPr="00103F17">
        <w:rPr>
          <w:rFonts w:asciiTheme="majorHAnsi" w:hAnsiTheme="majorHAnsi" w:cs="Calibri Light"/>
          <w:sz w:val="22"/>
          <w:szCs w:val="22"/>
        </w:rPr>
        <w:t xml:space="preserve">                                           </w:t>
      </w:r>
    </w:p>
    <w:p w:rsidR="00296B6A" w:rsidRPr="00103F17" w:rsidRDefault="00296B6A" w:rsidP="00296B6A">
      <w:pPr>
        <w:tabs>
          <w:tab w:val="left" w:pos="0"/>
          <w:tab w:val="left" w:pos="284"/>
        </w:tabs>
        <w:spacing w:before="120"/>
        <w:rPr>
          <w:rFonts w:asciiTheme="majorHAnsi" w:hAnsiTheme="majorHAnsi" w:cs="Calibri Light"/>
          <w:color w:val="FF0000"/>
          <w:sz w:val="22"/>
          <w:szCs w:val="22"/>
        </w:rPr>
      </w:pPr>
      <w:r w:rsidRPr="00103F17">
        <w:rPr>
          <w:rFonts w:asciiTheme="majorHAnsi" w:hAnsiTheme="majorHAnsi" w:cs="Calibri Light"/>
          <w:b/>
          <w:sz w:val="22"/>
          <w:szCs w:val="22"/>
        </w:rPr>
        <w:t>Action points:</w:t>
      </w:r>
      <w:r w:rsidRPr="00103F17">
        <w:rPr>
          <w:rFonts w:asciiTheme="majorHAnsi" w:hAnsiTheme="majorHAnsi" w:cs="Calibri Light"/>
          <w:sz w:val="22"/>
          <w:szCs w:val="22"/>
        </w:rPr>
        <w:t xml:space="preserve"> </w:t>
      </w:r>
      <w:r w:rsidR="00F8731E">
        <w:rPr>
          <w:rFonts w:asciiTheme="majorHAnsi" w:hAnsiTheme="majorHAnsi" w:cs="Calibri Light"/>
          <w:sz w:val="22"/>
          <w:szCs w:val="22"/>
        </w:rPr>
        <w:t xml:space="preserve">The APPG agreed to </w:t>
      </w:r>
      <w:r>
        <w:rPr>
          <w:rFonts w:asciiTheme="majorHAnsi" w:hAnsiTheme="majorHAnsi" w:cs="Calibri Light"/>
          <w:sz w:val="22"/>
          <w:szCs w:val="22"/>
        </w:rPr>
        <w:t>support an independent bid to fund</w:t>
      </w:r>
      <w:r w:rsidRPr="00103F17">
        <w:rPr>
          <w:rFonts w:asciiTheme="majorHAnsi" w:hAnsiTheme="majorHAnsi" w:cs="Calibri Light"/>
          <w:sz w:val="22"/>
          <w:szCs w:val="22"/>
        </w:rPr>
        <w:t xml:space="preserve"> further</w:t>
      </w:r>
      <w:r w:rsidR="00F8731E">
        <w:rPr>
          <w:rFonts w:asciiTheme="majorHAnsi" w:hAnsiTheme="majorHAnsi" w:cs="Calibri Light"/>
          <w:sz w:val="22"/>
          <w:szCs w:val="22"/>
        </w:rPr>
        <w:t xml:space="preserve"> research into changes in art and design ITE provision.</w:t>
      </w:r>
      <w:r w:rsidRPr="00103F17">
        <w:rPr>
          <w:rFonts w:asciiTheme="majorHAnsi" w:hAnsiTheme="majorHAnsi" w:cs="Calibri Light"/>
          <w:sz w:val="22"/>
          <w:szCs w:val="22"/>
        </w:rPr>
        <w:t xml:space="preserve"> </w:t>
      </w:r>
    </w:p>
    <w:p w:rsidR="00296B6A" w:rsidRPr="00103F17" w:rsidRDefault="00296B6A" w:rsidP="00296B6A">
      <w:pPr>
        <w:tabs>
          <w:tab w:val="left" w:pos="0"/>
          <w:tab w:val="left" w:pos="284"/>
        </w:tabs>
        <w:spacing w:before="120"/>
        <w:rPr>
          <w:rFonts w:asciiTheme="majorHAnsi" w:hAnsiTheme="majorHAnsi" w:cs="Calibri Light"/>
          <w:sz w:val="22"/>
          <w:szCs w:val="22"/>
        </w:rPr>
      </w:pPr>
      <w:r w:rsidRPr="00103F17">
        <w:rPr>
          <w:rFonts w:asciiTheme="majorHAnsi" w:hAnsiTheme="majorHAnsi" w:cs="Calibri Light"/>
          <w:b/>
          <w:sz w:val="22"/>
          <w:szCs w:val="22"/>
        </w:rPr>
        <w:t>5/17</w:t>
      </w:r>
      <w:r w:rsidRPr="00103F17">
        <w:rPr>
          <w:rFonts w:asciiTheme="majorHAnsi" w:hAnsiTheme="majorHAnsi" w:cs="Calibri Light"/>
          <w:sz w:val="22"/>
          <w:szCs w:val="22"/>
        </w:rPr>
        <w:t xml:space="preserve"> </w:t>
      </w:r>
      <w:r w:rsidRPr="00A12D41">
        <w:rPr>
          <w:rFonts w:asciiTheme="majorHAnsi" w:hAnsiTheme="majorHAnsi" w:cs="Calibri Light"/>
          <w:b/>
          <w:sz w:val="22"/>
          <w:szCs w:val="22"/>
        </w:rPr>
        <w:t>Dr. Rachel Payne (Oxford Brookes University)</w:t>
      </w:r>
      <w:r>
        <w:rPr>
          <w:rFonts w:asciiTheme="majorHAnsi" w:hAnsiTheme="majorHAnsi" w:cs="Calibri Light"/>
          <w:b/>
          <w:sz w:val="22"/>
          <w:szCs w:val="22"/>
        </w:rPr>
        <w:t xml:space="preserve">, </w:t>
      </w:r>
      <w:r w:rsidRPr="00A12D41">
        <w:rPr>
          <w:rFonts w:asciiTheme="majorHAnsi" w:hAnsiTheme="majorHAnsi" w:cs="Calibri Light"/>
          <w:b/>
          <w:sz w:val="22"/>
          <w:szCs w:val="22"/>
        </w:rPr>
        <w:t>the role of partnership and community in ITE</w:t>
      </w:r>
      <w:r>
        <w:rPr>
          <w:rFonts w:asciiTheme="majorHAnsi" w:hAnsiTheme="majorHAnsi" w:cs="Calibri Light"/>
          <w:sz w:val="22"/>
          <w:szCs w:val="22"/>
        </w:rPr>
        <w:t>:</w:t>
      </w:r>
      <w:r w:rsidRPr="00103F17">
        <w:rPr>
          <w:rFonts w:asciiTheme="majorHAnsi" w:hAnsiTheme="majorHAnsi" w:cs="Calibri Light"/>
          <w:sz w:val="22"/>
          <w:szCs w:val="22"/>
        </w:rPr>
        <w:t xml:space="preserve"> </w:t>
      </w:r>
      <w:r>
        <w:rPr>
          <w:rFonts w:asciiTheme="majorHAnsi" w:hAnsiTheme="majorHAnsi" w:cs="Calibri Light"/>
          <w:sz w:val="22"/>
          <w:szCs w:val="22"/>
        </w:rPr>
        <w:t xml:space="preserve">Rachel </w:t>
      </w:r>
      <w:r w:rsidRPr="00103F17">
        <w:rPr>
          <w:rFonts w:asciiTheme="majorHAnsi" w:hAnsiTheme="majorHAnsi" w:cs="Calibri Light"/>
          <w:sz w:val="22"/>
          <w:szCs w:val="22"/>
        </w:rPr>
        <w:t>Payne</w:t>
      </w:r>
      <w:r>
        <w:rPr>
          <w:rFonts w:asciiTheme="majorHAnsi" w:hAnsiTheme="majorHAnsi" w:cs="Calibri Light"/>
          <w:sz w:val="22"/>
          <w:szCs w:val="22"/>
        </w:rPr>
        <w:t xml:space="preserve"> (RP)</w:t>
      </w:r>
      <w:r w:rsidRPr="00103F17">
        <w:rPr>
          <w:rFonts w:asciiTheme="majorHAnsi" w:hAnsiTheme="majorHAnsi" w:cs="Calibri Light"/>
          <w:sz w:val="22"/>
          <w:szCs w:val="22"/>
        </w:rPr>
        <w:t xml:space="preserve"> outlined changes in secondary </w:t>
      </w:r>
      <w:r>
        <w:rPr>
          <w:rFonts w:asciiTheme="majorHAnsi" w:hAnsiTheme="majorHAnsi" w:cs="Calibri Light"/>
          <w:sz w:val="22"/>
          <w:szCs w:val="22"/>
        </w:rPr>
        <w:t>PGCE provision, notably that 36 per cent</w:t>
      </w:r>
      <w:r w:rsidRPr="00103F17">
        <w:rPr>
          <w:rFonts w:asciiTheme="majorHAnsi" w:hAnsiTheme="majorHAnsi" w:cs="Calibri Light"/>
          <w:sz w:val="22"/>
          <w:szCs w:val="22"/>
        </w:rPr>
        <w:t xml:space="preserve"> of </w:t>
      </w:r>
      <w:r>
        <w:rPr>
          <w:rFonts w:asciiTheme="majorHAnsi" w:hAnsiTheme="majorHAnsi" w:cs="Calibri Light"/>
          <w:sz w:val="22"/>
          <w:szCs w:val="22"/>
        </w:rPr>
        <w:t xml:space="preserve">art and design ITE </w:t>
      </w:r>
      <w:r w:rsidRPr="00103F17">
        <w:rPr>
          <w:rFonts w:asciiTheme="majorHAnsi" w:hAnsiTheme="majorHAnsi" w:cs="Calibri Light"/>
          <w:sz w:val="22"/>
          <w:szCs w:val="22"/>
        </w:rPr>
        <w:t xml:space="preserve">providers closed between 2010 and 2013. </w:t>
      </w:r>
      <w:r>
        <w:rPr>
          <w:rFonts w:asciiTheme="majorHAnsi" w:hAnsiTheme="majorHAnsi" w:cs="Calibri Light"/>
          <w:sz w:val="22"/>
          <w:szCs w:val="22"/>
        </w:rPr>
        <w:t>RP</w:t>
      </w:r>
      <w:r w:rsidRPr="00103F17">
        <w:rPr>
          <w:rFonts w:asciiTheme="majorHAnsi" w:hAnsiTheme="majorHAnsi" w:cs="Calibri Light"/>
          <w:sz w:val="22"/>
          <w:szCs w:val="22"/>
        </w:rPr>
        <w:t xml:space="preserve"> also outlined th</w:t>
      </w:r>
      <w:r>
        <w:rPr>
          <w:rFonts w:asciiTheme="majorHAnsi" w:hAnsiTheme="majorHAnsi" w:cs="Calibri Light"/>
          <w:sz w:val="22"/>
          <w:szCs w:val="22"/>
        </w:rPr>
        <w:t>e impact of a closure on a loca</w:t>
      </w:r>
      <w:r w:rsidRPr="00103F17">
        <w:rPr>
          <w:rFonts w:asciiTheme="majorHAnsi" w:hAnsiTheme="majorHAnsi" w:cs="Calibri Light"/>
          <w:sz w:val="22"/>
          <w:szCs w:val="22"/>
        </w:rPr>
        <w:t>lity, citing Oxford Brookes</w:t>
      </w:r>
      <w:r>
        <w:rPr>
          <w:rFonts w:asciiTheme="majorHAnsi" w:hAnsiTheme="majorHAnsi" w:cs="Calibri Light"/>
          <w:sz w:val="22"/>
          <w:szCs w:val="22"/>
        </w:rPr>
        <w:t xml:space="preserve"> and the surrounding region</w:t>
      </w:r>
      <w:r w:rsidRPr="00103F17">
        <w:rPr>
          <w:rFonts w:asciiTheme="majorHAnsi" w:hAnsiTheme="majorHAnsi" w:cs="Calibri Light"/>
          <w:sz w:val="22"/>
          <w:szCs w:val="22"/>
        </w:rPr>
        <w:t xml:space="preserve"> as </w:t>
      </w:r>
      <w:r w:rsidR="001256D4">
        <w:rPr>
          <w:rFonts w:asciiTheme="majorHAnsi" w:hAnsiTheme="majorHAnsi" w:cs="Calibri Light"/>
          <w:sz w:val="22"/>
          <w:szCs w:val="22"/>
        </w:rPr>
        <w:t>an</w:t>
      </w:r>
      <w:r w:rsidRPr="00103F17">
        <w:rPr>
          <w:rFonts w:asciiTheme="majorHAnsi" w:hAnsiTheme="majorHAnsi" w:cs="Calibri Light"/>
          <w:sz w:val="22"/>
          <w:szCs w:val="22"/>
        </w:rPr>
        <w:t xml:space="preserve"> example. Concerns were summarised and sha</w:t>
      </w:r>
      <w:r>
        <w:rPr>
          <w:rFonts w:asciiTheme="majorHAnsi" w:hAnsiTheme="majorHAnsi" w:cs="Calibri Light"/>
          <w:sz w:val="22"/>
          <w:szCs w:val="22"/>
        </w:rPr>
        <w:t>red and the recommendations of the</w:t>
      </w:r>
      <w:r w:rsidRPr="00103F17">
        <w:rPr>
          <w:rFonts w:asciiTheme="majorHAnsi" w:hAnsiTheme="majorHAnsi" w:cs="Calibri Light"/>
          <w:sz w:val="22"/>
          <w:szCs w:val="22"/>
        </w:rPr>
        <w:t xml:space="preserve"> Carter Review (2015:17) were also </w:t>
      </w:r>
      <w:r>
        <w:rPr>
          <w:rFonts w:asciiTheme="majorHAnsi" w:hAnsiTheme="majorHAnsi" w:cs="Calibri Light"/>
          <w:sz w:val="22"/>
          <w:szCs w:val="22"/>
        </w:rPr>
        <w:t>addressed</w:t>
      </w:r>
      <w:r w:rsidRPr="00103F17">
        <w:rPr>
          <w:rFonts w:asciiTheme="majorHAnsi" w:hAnsiTheme="majorHAnsi" w:cs="Calibri Light"/>
          <w:sz w:val="22"/>
          <w:szCs w:val="22"/>
        </w:rPr>
        <w:t xml:space="preserve">. </w:t>
      </w:r>
      <w:r>
        <w:rPr>
          <w:rFonts w:asciiTheme="majorHAnsi" w:hAnsiTheme="majorHAnsi" w:cs="Calibri Light"/>
          <w:sz w:val="22"/>
          <w:szCs w:val="22"/>
        </w:rPr>
        <w:t>The</w:t>
      </w:r>
      <w:r w:rsidRPr="00103F17">
        <w:rPr>
          <w:rFonts w:asciiTheme="majorHAnsi" w:hAnsiTheme="majorHAnsi" w:cs="Calibri Light"/>
          <w:sz w:val="22"/>
          <w:szCs w:val="22"/>
        </w:rPr>
        <w:t xml:space="preserve"> presentation can be </w:t>
      </w:r>
      <w:r w:rsidR="001256D4">
        <w:rPr>
          <w:rFonts w:asciiTheme="majorHAnsi" w:hAnsiTheme="majorHAnsi" w:cs="Calibri Light"/>
          <w:sz w:val="22"/>
          <w:szCs w:val="22"/>
        </w:rPr>
        <w:t>read here</w:t>
      </w:r>
      <w:r w:rsidRPr="00103F17">
        <w:rPr>
          <w:rFonts w:asciiTheme="majorHAnsi" w:hAnsiTheme="majorHAnsi" w:cs="Calibri Light"/>
          <w:sz w:val="22"/>
          <w:szCs w:val="22"/>
        </w:rPr>
        <w:t xml:space="preserve">: </w:t>
      </w:r>
      <w:hyperlink r:id="rId8" w:history="1">
        <w:proofErr w:type="spellStart"/>
        <w:r w:rsidRPr="00103F17">
          <w:rPr>
            <w:rStyle w:val="Hyperlink"/>
            <w:rFonts w:asciiTheme="majorHAnsi" w:hAnsiTheme="majorHAnsi" w:cs="Calibri Light"/>
            <w:sz w:val="22"/>
            <w:szCs w:val="22"/>
          </w:rPr>
          <w:t>Rachel_Payne_The_impact_of_secondary_PGCE_closures.pdf</w:t>
        </w:r>
        <w:proofErr w:type="spellEnd"/>
      </w:hyperlink>
      <w:r w:rsidRPr="00103F17">
        <w:rPr>
          <w:rFonts w:asciiTheme="majorHAnsi" w:hAnsiTheme="majorHAnsi" w:cs="Calibri Light"/>
          <w:sz w:val="22"/>
          <w:szCs w:val="22"/>
        </w:rPr>
        <w:t xml:space="preserve"> </w:t>
      </w:r>
    </w:p>
    <w:p w:rsidR="00296B6A" w:rsidRPr="00103F17" w:rsidRDefault="00296B6A" w:rsidP="00296B6A">
      <w:pPr>
        <w:tabs>
          <w:tab w:val="left" w:pos="0"/>
          <w:tab w:val="left" w:pos="284"/>
        </w:tabs>
        <w:spacing w:before="120"/>
        <w:rPr>
          <w:rFonts w:asciiTheme="majorHAnsi" w:hAnsiTheme="majorHAnsi" w:cs="Calibri Light"/>
          <w:color w:val="FF0000"/>
          <w:sz w:val="22"/>
          <w:szCs w:val="22"/>
        </w:rPr>
      </w:pPr>
      <w:r w:rsidRPr="00A12D41">
        <w:rPr>
          <w:rFonts w:asciiTheme="majorHAnsi" w:hAnsiTheme="majorHAnsi" w:cs="Calibri Light"/>
          <w:b/>
          <w:sz w:val="22"/>
          <w:szCs w:val="22"/>
        </w:rPr>
        <w:t>Action Points:</w:t>
      </w:r>
      <w:r w:rsidRPr="00103F17">
        <w:rPr>
          <w:rFonts w:asciiTheme="majorHAnsi" w:hAnsiTheme="majorHAnsi" w:cs="Calibri Light"/>
          <w:sz w:val="22"/>
          <w:szCs w:val="22"/>
        </w:rPr>
        <w:t xml:space="preserve"> </w:t>
      </w:r>
      <w:r>
        <w:rPr>
          <w:rFonts w:asciiTheme="majorHAnsi" w:hAnsiTheme="majorHAnsi" w:cs="Calibri Light"/>
          <w:sz w:val="22"/>
          <w:szCs w:val="22"/>
        </w:rPr>
        <w:t>The ITE</w:t>
      </w:r>
      <w:r w:rsidRPr="00103F17">
        <w:rPr>
          <w:rFonts w:asciiTheme="majorHAnsi" w:hAnsiTheme="majorHAnsi" w:cs="Calibri Light"/>
          <w:sz w:val="22"/>
          <w:szCs w:val="22"/>
        </w:rPr>
        <w:t xml:space="preserve"> SIG</w:t>
      </w:r>
      <w:r>
        <w:rPr>
          <w:rFonts w:asciiTheme="majorHAnsi" w:hAnsiTheme="majorHAnsi" w:cs="Calibri Light"/>
          <w:sz w:val="22"/>
          <w:szCs w:val="22"/>
        </w:rPr>
        <w:t>/NSEAD</w:t>
      </w:r>
      <w:r w:rsidRPr="00103F17">
        <w:rPr>
          <w:rFonts w:asciiTheme="majorHAnsi" w:hAnsiTheme="majorHAnsi" w:cs="Calibri Light"/>
          <w:sz w:val="22"/>
          <w:szCs w:val="22"/>
        </w:rPr>
        <w:t xml:space="preserve"> </w:t>
      </w:r>
      <w:r>
        <w:rPr>
          <w:rFonts w:asciiTheme="majorHAnsi" w:hAnsiTheme="majorHAnsi" w:cs="Calibri Light"/>
          <w:sz w:val="22"/>
          <w:szCs w:val="22"/>
        </w:rPr>
        <w:t>agreed to</w:t>
      </w:r>
      <w:r w:rsidRPr="00103F17">
        <w:rPr>
          <w:rFonts w:asciiTheme="majorHAnsi" w:hAnsiTheme="majorHAnsi" w:cs="Calibri Light"/>
          <w:sz w:val="22"/>
          <w:szCs w:val="22"/>
        </w:rPr>
        <w:t xml:space="preserve"> identify and create a database of target groups, </w:t>
      </w:r>
      <w:r>
        <w:rPr>
          <w:rFonts w:asciiTheme="majorHAnsi" w:hAnsiTheme="majorHAnsi" w:cs="Calibri Light"/>
          <w:sz w:val="22"/>
          <w:szCs w:val="22"/>
        </w:rPr>
        <w:t xml:space="preserve">and to </w:t>
      </w:r>
      <w:r w:rsidRPr="00103F17">
        <w:rPr>
          <w:rFonts w:asciiTheme="majorHAnsi" w:hAnsiTheme="majorHAnsi" w:cs="Calibri Light"/>
          <w:sz w:val="22"/>
          <w:szCs w:val="22"/>
        </w:rPr>
        <w:t>revise and create materials to communicate with target</w:t>
      </w:r>
      <w:r>
        <w:rPr>
          <w:rFonts w:asciiTheme="majorHAnsi" w:hAnsiTheme="majorHAnsi" w:cs="Calibri Light"/>
          <w:sz w:val="22"/>
          <w:szCs w:val="22"/>
        </w:rPr>
        <w:t xml:space="preserve"> ITE</w:t>
      </w:r>
      <w:r w:rsidRPr="00103F17">
        <w:rPr>
          <w:rFonts w:asciiTheme="majorHAnsi" w:hAnsiTheme="majorHAnsi" w:cs="Calibri Light"/>
          <w:sz w:val="22"/>
          <w:szCs w:val="22"/>
        </w:rPr>
        <w:t xml:space="preserve"> groups. The APPG agreed to support the SIG with any funding proposals </w:t>
      </w:r>
      <w:r>
        <w:rPr>
          <w:rFonts w:asciiTheme="majorHAnsi" w:hAnsiTheme="majorHAnsi" w:cs="Calibri Light"/>
          <w:sz w:val="22"/>
          <w:szCs w:val="22"/>
        </w:rPr>
        <w:t>to focus</w:t>
      </w:r>
      <w:r w:rsidRPr="00103F17">
        <w:rPr>
          <w:rFonts w:asciiTheme="majorHAnsi" w:hAnsiTheme="majorHAnsi" w:cs="Calibri Light"/>
          <w:sz w:val="22"/>
          <w:szCs w:val="22"/>
        </w:rPr>
        <w:t xml:space="preserve"> on ITE provision and professional development opportunities. </w:t>
      </w:r>
    </w:p>
    <w:p w:rsidR="001256D4" w:rsidRDefault="001256D4" w:rsidP="00296B6A">
      <w:pPr>
        <w:tabs>
          <w:tab w:val="left" w:pos="0"/>
          <w:tab w:val="left" w:pos="284"/>
        </w:tabs>
        <w:spacing w:before="120"/>
        <w:rPr>
          <w:rFonts w:asciiTheme="majorHAnsi" w:hAnsiTheme="majorHAnsi" w:cs="Calibri Light"/>
          <w:b/>
          <w:sz w:val="22"/>
          <w:szCs w:val="22"/>
        </w:rPr>
      </w:pPr>
    </w:p>
    <w:p w:rsidR="001256D4" w:rsidRDefault="001256D4" w:rsidP="00296B6A">
      <w:pPr>
        <w:tabs>
          <w:tab w:val="left" w:pos="0"/>
          <w:tab w:val="left" w:pos="284"/>
        </w:tabs>
        <w:spacing w:before="120"/>
        <w:rPr>
          <w:rFonts w:asciiTheme="majorHAnsi" w:hAnsiTheme="majorHAnsi" w:cs="Calibri Light"/>
          <w:b/>
          <w:sz w:val="22"/>
          <w:szCs w:val="22"/>
        </w:rPr>
      </w:pPr>
    </w:p>
    <w:p w:rsidR="00296B6A" w:rsidRPr="00CC7D66" w:rsidRDefault="00296B6A" w:rsidP="00296B6A">
      <w:pPr>
        <w:tabs>
          <w:tab w:val="left" w:pos="0"/>
          <w:tab w:val="left" w:pos="284"/>
        </w:tabs>
        <w:spacing w:before="120"/>
        <w:rPr>
          <w:rFonts w:asciiTheme="majorHAnsi" w:hAnsiTheme="majorHAnsi" w:cs="Calibri Light"/>
          <w:b/>
          <w:sz w:val="22"/>
          <w:szCs w:val="22"/>
        </w:rPr>
      </w:pPr>
      <w:r w:rsidRPr="00CC7D66">
        <w:rPr>
          <w:rFonts w:asciiTheme="majorHAnsi" w:hAnsiTheme="majorHAnsi" w:cs="Calibri Light"/>
          <w:b/>
          <w:sz w:val="22"/>
          <w:szCs w:val="22"/>
        </w:rPr>
        <w:t>6/17 Conclusions and areas of concern/next steps that will inform the NSEAD Special Interest Group for ITE:</w:t>
      </w:r>
    </w:p>
    <w:p w:rsidR="00296B6A" w:rsidRPr="00103F17" w:rsidRDefault="001256D4" w:rsidP="00296B6A">
      <w:pPr>
        <w:tabs>
          <w:tab w:val="left" w:pos="0"/>
          <w:tab w:val="left" w:pos="284"/>
        </w:tabs>
        <w:spacing w:before="120"/>
        <w:rPr>
          <w:rFonts w:asciiTheme="majorHAnsi" w:hAnsiTheme="majorHAnsi" w:cs="Calibri Light"/>
          <w:sz w:val="22"/>
          <w:szCs w:val="22"/>
        </w:rPr>
      </w:pPr>
      <w:r>
        <w:rPr>
          <w:rFonts w:asciiTheme="majorHAnsi" w:hAnsiTheme="majorHAnsi" w:cs="Calibri Light"/>
          <w:sz w:val="22"/>
          <w:szCs w:val="22"/>
        </w:rPr>
        <w:t>Sharon Hodgson</w:t>
      </w:r>
      <w:r w:rsidR="00296B6A" w:rsidRPr="00103F17">
        <w:rPr>
          <w:rFonts w:asciiTheme="majorHAnsi" w:hAnsiTheme="majorHAnsi" w:cs="Calibri Light"/>
          <w:sz w:val="22"/>
          <w:szCs w:val="22"/>
        </w:rPr>
        <w:t xml:space="preserve"> thanked </w:t>
      </w:r>
      <w:r w:rsidR="00296B6A">
        <w:rPr>
          <w:rFonts w:asciiTheme="majorHAnsi" w:hAnsiTheme="majorHAnsi" w:cs="Calibri Light"/>
          <w:sz w:val="22"/>
          <w:szCs w:val="22"/>
        </w:rPr>
        <w:t xml:space="preserve">all </w:t>
      </w:r>
      <w:r w:rsidR="00296B6A" w:rsidRPr="00103F17">
        <w:rPr>
          <w:rFonts w:asciiTheme="majorHAnsi" w:hAnsiTheme="majorHAnsi" w:cs="Calibri Light"/>
          <w:sz w:val="22"/>
          <w:szCs w:val="22"/>
        </w:rPr>
        <w:t xml:space="preserve">presenters for their </w:t>
      </w:r>
      <w:r w:rsidR="00296B6A">
        <w:rPr>
          <w:rFonts w:asciiTheme="majorHAnsi" w:hAnsiTheme="majorHAnsi" w:cs="Calibri Light"/>
          <w:sz w:val="22"/>
          <w:szCs w:val="22"/>
        </w:rPr>
        <w:t>presentations</w:t>
      </w:r>
      <w:r w:rsidR="00296B6A" w:rsidRPr="00103F17">
        <w:rPr>
          <w:rFonts w:asciiTheme="majorHAnsi" w:hAnsiTheme="majorHAnsi" w:cs="Calibri Light"/>
          <w:sz w:val="22"/>
          <w:szCs w:val="22"/>
        </w:rPr>
        <w:t xml:space="preserve"> and </w:t>
      </w:r>
      <w:r w:rsidR="00296B6A">
        <w:rPr>
          <w:rFonts w:asciiTheme="majorHAnsi" w:hAnsiTheme="majorHAnsi" w:cs="Calibri Light"/>
          <w:sz w:val="22"/>
          <w:szCs w:val="22"/>
        </w:rPr>
        <w:t>proposed</w:t>
      </w:r>
      <w:r w:rsidR="00296B6A" w:rsidRPr="00103F17">
        <w:rPr>
          <w:rFonts w:asciiTheme="majorHAnsi" w:hAnsiTheme="majorHAnsi" w:cs="Calibri Light"/>
          <w:sz w:val="22"/>
          <w:szCs w:val="22"/>
        </w:rPr>
        <w:t xml:space="preserve"> that </w:t>
      </w:r>
      <w:r w:rsidR="00296B6A">
        <w:rPr>
          <w:rFonts w:asciiTheme="majorHAnsi" w:hAnsiTheme="majorHAnsi" w:cs="Calibri Light"/>
          <w:sz w:val="22"/>
          <w:szCs w:val="22"/>
        </w:rPr>
        <w:t>the</w:t>
      </w:r>
      <w:r w:rsidR="00296B6A" w:rsidRPr="00103F17">
        <w:rPr>
          <w:rFonts w:asciiTheme="majorHAnsi" w:hAnsiTheme="majorHAnsi" w:cs="Calibri Light"/>
          <w:sz w:val="22"/>
          <w:szCs w:val="22"/>
        </w:rPr>
        <w:t xml:space="preserve"> </w:t>
      </w:r>
      <w:r w:rsidR="00296B6A">
        <w:rPr>
          <w:rFonts w:asciiTheme="majorHAnsi" w:hAnsiTheme="majorHAnsi" w:cs="Calibri Light"/>
          <w:sz w:val="22"/>
          <w:szCs w:val="22"/>
        </w:rPr>
        <w:t>research</w:t>
      </w:r>
      <w:r w:rsidR="00296B6A" w:rsidRPr="00103F17">
        <w:rPr>
          <w:rFonts w:asciiTheme="majorHAnsi" w:hAnsiTheme="majorHAnsi" w:cs="Calibri Light"/>
          <w:sz w:val="22"/>
          <w:szCs w:val="22"/>
        </w:rPr>
        <w:t xml:space="preserve"> should to be shared with</w:t>
      </w:r>
      <w:r w:rsidR="00296B6A">
        <w:rPr>
          <w:rFonts w:asciiTheme="majorHAnsi" w:hAnsiTheme="majorHAnsi" w:cs="Calibri Light"/>
          <w:sz w:val="22"/>
          <w:szCs w:val="22"/>
        </w:rPr>
        <w:t xml:space="preserve"> The </w:t>
      </w:r>
      <w:proofErr w:type="spellStart"/>
      <w:proofErr w:type="gramStart"/>
      <w:r w:rsidR="00296B6A">
        <w:rPr>
          <w:rFonts w:asciiTheme="majorHAnsi" w:hAnsiTheme="majorHAnsi" w:cs="Calibri Light"/>
          <w:sz w:val="22"/>
          <w:szCs w:val="22"/>
        </w:rPr>
        <w:t>Rt</w:t>
      </w:r>
      <w:proofErr w:type="spellEnd"/>
      <w:proofErr w:type="gramEnd"/>
      <w:r w:rsidR="00296B6A">
        <w:rPr>
          <w:rFonts w:asciiTheme="majorHAnsi" w:hAnsiTheme="majorHAnsi" w:cs="Calibri Light"/>
          <w:sz w:val="22"/>
          <w:szCs w:val="22"/>
        </w:rPr>
        <w:t xml:space="preserve"> Hon</w:t>
      </w:r>
      <w:r w:rsidR="00296B6A" w:rsidRPr="00103F17">
        <w:rPr>
          <w:rFonts w:asciiTheme="majorHAnsi" w:hAnsiTheme="majorHAnsi" w:cs="Calibri Light"/>
          <w:sz w:val="22"/>
          <w:szCs w:val="22"/>
        </w:rPr>
        <w:t xml:space="preserve"> Justine Greening MP, Secretary of State for Education. </w:t>
      </w:r>
    </w:p>
    <w:p w:rsidR="00296B6A" w:rsidRPr="00103F17" w:rsidRDefault="00296B6A" w:rsidP="00296B6A">
      <w:pPr>
        <w:tabs>
          <w:tab w:val="left" w:pos="0"/>
          <w:tab w:val="left" w:pos="284"/>
        </w:tabs>
        <w:spacing w:before="120"/>
        <w:rPr>
          <w:rFonts w:asciiTheme="majorHAnsi" w:hAnsiTheme="majorHAnsi" w:cs="Calibri Light"/>
          <w:color w:val="FF0000"/>
          <w:sz w:val="22"/>
          <w:szCs w:val="22"/>
        </w:rPr>
      </w:pPr>
      <w:r w:rsidRPr="00A12D41">
        <w:rPr>
          <w:rFonts w:asciiTheme="majorHAnsi" w:hAnsiTheme="majorHAnsi" w:cs="Calibri Light"/>
          <w:b/>
          <w:sz w:val="22"/>
          <w:szCs w:val="22"/>
        </w:rPr>
        <w:t>Action Point:</w:t>
      </w:r>
      <w:r w:rsidRPr="00103F17">
        <w:rPr>
          <w:rFonts w:asciiTheme="majorHAnsi" w:hAnsiTheme="majorHAnsi" w:cs="Calibri Light"/>
          <w:sz w:val="22"/>
          <w:szCs w:val="22"/>
        </w:rPr>
        <w:t xml:space="preserve"> It was agreed that a letter addressing ITE </w:t>
      </w:r>
      <w:r w:rsidR="00F8731E" w:rsidRPr="00103F17">
        <w:rPr>
          <w:rFonts w:asciiTheme="majorHAnsi" w:hAnsiTheme="majorHAnsi" w:cs="Calibri Light"/>
          <w:sz w:val="22"/>
          <w:szCs w:val="22"/>
        </w:rPr>
        <w:t xml:space="preserve">art and design </w:t>
      </w:r>
      <w:r w:rsidR="00F8731E">
        <w:rPr>
          <w:rFonts w:asciiTheme="majorHAnsi" w:hAnsiTheme="majorHAnsi" w:cs="Calibri Light"/>
          <w:sz w:val="22"/>
          <w:szCs w:val="22"/>
        </w:rPr>
        <w:t>provision would</w:t>
      </w:r>
      <w:r w:rsidRPr="00103F17">
        <w:rPr>
          <w:rFonts w:asciiTheme="majorHAnsi" w:hAnsiTheme="majorHAnsi" w:cs="Calibri Light"/>
          <w:sz w:val="22"/>
          <w:szCs w:val="22"/>
        </w:rPr>
        <w:t xml:space="preserve"> be drafted </w:t>
      </w:r>
      <w:r w:rsidR="00F8731E" w:rsidRPr="00103F17">
        <w:rPr>
          <w:rFonts w:asciiTheme="majorHAnsi" w:hAnsiTheme="majorHAnsi" w:cs="Calibri Light"/>
          <w:sz w:val="22"/>
          <w:szCs w:val="22"/>
        </w:rPr>
        <w:t>on behalf of the APPG</w:t>
      </w:r>
      <w:r w:rsidR="00F8731E">
        <w:rPr>
          <w:rFonts w:asciiTheme="majorHAnsi" w:hAnsiTheme="majorHAnsi" w:cs="Calibri Light"/>
          <w:sz w:val="22"/>
          <w:szCs w:val="22"/>
        </w:rPr>
        <w:t xml:space="preserve"> </w:t>
      </w:r>
      <w:r w:rsidRPr="00103F17">
        <w:rPr>
          <w:rFonts w:asciiTheme="majorHAnsi" w:hAnsiTheme="majorHAnsi" w:cs="Calibri Light"/>
          <w:sz w:val="22"/>
          <w:szCs w:val="22"/>
        </w:rPr>
        <w:t>by NSEA</w:t>
      </w:r>
      <w:r>
        <w:rPr>
          <w:rFonts w:asciiTheme="majorHAnsi" w:hAnsiTheme="majorHAnsi" w:cs="Calibri Light"/>
          <w:sz w:val="22"/>
          <w:szCs w:val="22"/>
        </w:rPr>
        <w:t>D</w:t>
      </w:r>
      <w:r w:rsidRPr="00103F17">
        <w:rPr>
          <w:rFonts w:asciiTheme="majorHAnsi" w:hAnsiTheme="majorHAnsi" w:cs="Calibri Light"/>
          <w:sz w:val="22"/>
          <w:szCs w:val="22"/>
        </w:rPr>
        <w:t>/SIG for</w:t>
      </w:r>
      <w:r w:rsidR="00F8731E">
        <w:rPr>
          <w:rFonts w:asciiTheme="majorHAnsi" w:hAnsiTheme="majorHAnsi" w:cs="Calibri Light"/>
          <w:sz w:val="22"/>
          <w:szCs w:val="22"/>
        </w:rPr>
        <w:t xml:space="preserve"> the attention of</w:t>
      </w:r>
      <w:r w:rsidRPr="00103F17">
        <w:rPr>
          <w:rFonts w:asciiTheme="majorHAnsi" w:hAnsiTheme="majorHAnsi" w:cs="Calibri Light"/>
          <w:sz w:val="22"/>
          <w:szCs w:val="22"/>
        </w:rPr>
        <w:t xml:space="preserve"> Justine Gree</w:t>
      </w:r>
      <w:r w:rsidR="00F8731E">
        <w:rPr>
          <w:rFonts w:asciiTheme="majorHAnsi" w:hAnsiTheme="majorHAnsi" w:cs="Calibri Light"/>
          <w:sz w:val="22"/>
          <w:szCs w:val="22"/>
        </w:rPr>
        <w:t>ning</w:t>
      </w:r>
      <w:r w:rsidRPr="00103F17">
        <w:rPr>
          <w:rFonts w:asciiTheme="majorHAnsi" w:hAnsiTheme="majorHAnsi" w:cs="Calibri Light"/>
          <w:sz w:val="22"/>
          <w:szCs w:val="22"/>
        </w:rPr>
        <w:t xml:space="preserve">. The letter would </w:t>
      </w:r>
      <w:r>
        <w:rPr>
          <w:rFonts w:asciiTheme="majorHAnsi" w:hAnsiTheme="majorHAnsi" w:cs="Calibri Light"/>
          <w:sz w:val="22"/>
          <w:szCs w:val="22"/>
        </w:rPr>
        <w:t>initially be</w:t>
      </w:r>
      <w:r w:rsidRPr="00103F17">
        <w:rPr>
          <w:rFonts w:asciiTheme="majorHAnsi" w:hAnsiTheme="majorHAnsi" w:cs="Calibri Light"/>
          <w:sz w:val="22"/>
          <w:szCs w:val="22"/>
        </w:rPr>
        <w:t xml:space="preserve"> drafted and shared with Sharon Hodgson and the APPG.</w:t>
      </w:r>
    </w:p>
    <w:p w:rsidR="00296B6A" w:rsidRPr="00103F17" w:rsidRDefault="00296B6A" w:rsidP="00296B6A">
      <w:pPr>
        <w:spacing w:before="120"/>
        <w:ind w:left="426" w:hanging="426"/>
        <w:rPr>
          <w:rFonts w:asciiTheme="majorHAnsi" w:hAnsiTheme="majorHAnsi" w:cs="Calibri Light"/>
          <w:sz w:val="22"/>
          <w:szCs w:val="22"/>
        </w:rPr>
      </w:pPr>
      <w:r w:rsidRPr="00A12D41">
        <w:rPr>
          <w:rFonts w:asciiTheme="majorHAnsi" w:hAnsiTheme="majorHAnsi" w:cs="Calibri Light"/>
          <w:b/>
          <w:sz w:val="22"/>
          <w:szCs w:val="22"/>
        </w:rPr>
        <w:t>8/17    AOB:</w:t>
      </w:r>
      <w:r w:rsidRPr="00103F17">
        <w:rPr>
          <w:rFonts w:asciiTheme="majorHAnsi" w:hAnsiTheme="majorHAnsi" w:cs="Calibri Light"/>
          <w:sz w:val="22"/>
          <w:szCs w:val="22"/>
        </w:rPr>
        <w:t xml:space="preserve"> There were no</w:t>
      </w:r>
      <w:r w:rsidR="00F8731E">
        <w:rPr>
          <w:rFonts w:asciiTheme="majorHAnsi" w:hAnsiTheme="majorHAnsi" w:cs="Calibri Light"/>
          <w:sz w:val="22"/>
          <w:szCs w:val="22"/>
        </w:rPr>
        <w:t xml:space="preserve"> further</w:t>
      </w:r>
      <w:r w:rsidRPr="00103F17">
        <w:rPr>
          <w:rFonts w:asciiTheme="majorHAnsi" w:hAnsiTheme="majorHAnsi" w:cs="Calibri Light"/>
          <w:sz w:val="22"/>
          <w:szCs w:val="22"/>
        </w:rPr>
        <w:t xml:space="preserve"> items.</w:t>
      </w:r>
    </w:p>
    <w:p w:rsidR="00296B6A" w:rsidRPr="00103F17" w:rsidRDefault="00296B6A" w:rsidP="00296B6A">
      <w:pPr>
        <w:spacing w:before="120"/>
        <w:rPr>
          <w:rFonts w:asciiTheme="majorHAnsi" w:hAnsiTheme="majorHAnsi" w:cs="Calibri Light"/>
          <w:color w:val="FF0000"/>
          <w:sz w:val="22"/>
          <w:szCs w:val="22"/>
        </w:rPr>
      </w:pPr>
      <w:r w:rsidRPr="00A12D41">
        <w:rPr>
          <w:rFonts w:asciiTheme="majorHAnsi" w:hAnsiTheme="majorHAnsi" w:cs="Calibri Light"/>
          <w:b/>
          <w:sz w:val="22"/>
          <w:szCs w:val="22"/>
        </w:rPr>
        <w:t>9/17    Date/time next meeting:</w:t>
      </w:r>
      <w:r w:rsidRPr="00103F17">
        <w:rPr>
          <w:rFonts w:asciiTheme="majorHAnsi" w:hAnsiTheme="majorHAnsi" w:cs="Calibri Light"/>
          <w:sz w:val="22"/>
          <w:szCs w:val="22"/>
        </w:rPr>
        <w:t xml:space="preserve"> 10 May 2017, 4:00-5:30 pm. The meeting will be held in </w:t>
      </w:r>
      <w:r w:rsidRPr="00103F17">
        <w:rPr>
          <w:rFonts w:asciiTheme="majorHAnsi" w:hAnsiTheme="majorHAnsi" w:cs="Calibri Light"/>
          <w:b/>
          <w:sz w:val="22"/>
          <w:szCs w:val="22"/>
        </w:rPr>
        <w:t>The Wilson Room</w:t>
      </w:r>
      <w:r w:rsidRPr="00103F17">
        <w:rPr>
          <w:rFonts w:asciiTheme="majorHAnsi" w:hAnsiTheme="majorHAnsi" w:cs="Calibri Light"/>
          <w:sz w:val="22"/>
          <w:szCs w:val="22"/>
        </w:rPr>
        <w:t xml:space="preserve">, which is in Portcullis House. Please note this different venue: </w:t>
      </w:r>
      <w:hyperlink r:id="rId9" w:history="1">
        <w:r w:rsidRPr="00103F17">
          <w:rPr>
            <w:rStyle w:val="Hyperlink"/>
            <w:rFonts w:asciiTheme="majorHAnsi" w:hAnsiTheme="majorHAnsi" w:cs="Calibri Light"/>
            <w:sz w:val="22"/>
            <w:szCs w:val="22"/>
          </w:rPr>
          <w:t>Portcullis House</w:t>
        </w:r>
      </w:hyperlink>
    </w:p>
    <w:p w:rsidR="00296B6A" w:rsidRPr="00103F17" w:rsidRDefault="00296B6A" w:rsidP="00296B6A">
      <w:pPr>
        <w:spacing w:before="120"/>
        <w:ind w:left="426"/>
        <w:jc w:val="center"/>
        <w:rPr>
          <w:rFonts w:asciiTheme="majorHAnsi" w:hAnsiTheme="majorHAnsi" w:cs="Calibri Light"/>
          <w:b/>
          <w:sz w:val="22"/>
          <w:szCs w:val="22"/>
        </w:rPr>
      </w:pPr>
    </w:p>
    <w:p w:rsidR="001256D4" w:rsidRDefault="00296B6A" w:rsidP="00296B6A">
      <w:pPr>
        <w:spacing w:before="120"/>
        <w:jc w:val="both"/>
        <w:rPr>
          <w:rFonts w:asciiTheme="majorHAnsi" w:hAnsiTheme="majorHAnsi" w:cs="Calibri Light"/>
          <w:noProof/>
          <w:sz w:val="22"/>
          <w:szCs w:val="22"/>
        </w:rPr>
      </w:pPr>
      <w:r w:rsidRPr="00103F17">
        <w:rPr>
          <w:rFonts w:asciiTheme="majorHAnsi" w:hAnsiTheme="majorHAnsi" w:cs="Calibri Light"/>
          <w:noProof/>
          <w:sz w:val="22"/>
          <w:szCs w:val="22"/>
        </w:rPr>
        <w:t xml:space="preserve"> </w:t>
      </w:r>
    </w:p>
    <w:p w:rsidR="001256D4" w:rsidRDefault="001256D4" w:rsidP="00296B6A">
      <w:pPr>
        <w:spacing w:before="120"/>
        <w:jc w:val="both"/>
        <w:rPr>
          <w:rFonts w:asciiTheme="majorHAnsi" w:hAnsiTheme="majorHAnsi" w:cs="Calibri Light"/>
          <w:noProof/>
          <w:sz w:val="22"/>
          <w:szCs w:val="22"/>
        </w:rPr>
      </w:pPr>
      <w:r>
        <w:rPr>
          <w:rFonts w:asciiTheme="majorHAnsi" w:hAnsiTheme="majorHAnsi" w:cs="Calibri Light"/>
          <w:noProof/>
          <w:sz w:val="22"/>
          <w:szCs w:val="22"/>
        </w:rPr>
        <w:t>28 March 2017</w:t>
      </w:r>
    </w:p>
    <w:p w:rsidR="001256D4" w:rsidRDefault="001256D4" w:rsidP="00296B6A">
      <w:pPr>
        <w:spacing w:before="120"/>
        <w:jc w:val="both"/>
        <w:rPr>
          <w:rFonts w:asciiTheme="majorHAnsi" w:hAnsiTheme="majorHAnsi" w:cs="Calibri Light"/>
          <w:noProof/>
          <w:sz w:val="22"/>
          <w:szCs w:val="22"/>
        </w:rPr>
      </w:pPr>
    </w:p>
    <w:p w:rsidR="001256D4" w:rsidRDefault="001256D4" w:rsidP="00296B6A">
      <w:pPr>
        <w:spacing w:before="120"/>
        <w:jc w:val="both"/>
        <w:rPr>
          <w:rFonts w:asciiTheme="majorHAnsi" w:hAnsiTheme="majorHAnsi" w:cs="Calibri Light"/>
          <w:noProof/>
          <w:sz w:val="22"/>
          <w:szCs w:val="22"/>
        </w:rPr>
      </w:pPr>
    </w:p>
    <w:p w:rsidR="001256D4" w:rsidRDefault="001256D4" w:rsidP="00296B6A">
      <w:pPr>
        <w:spacing w:before="120"/>
        <w:jc w:val="both"/>
        <w:rPr>
          <w:rFonts w:asciiTheme="majorHAnsi" w:hAnsiTheme="majorHAnsi" w:cs="Calibri Light"/>
          <w:noProof/>
          <w:sz w:val="22"/>
          <w:szCs w:val="22"/>
        </w:rPr>
      </w:pPr>
    </w:p>
    <w:p w:rsidR="001256D4" w:rsidRDefault="001256D4" w:rsidP="00296B6A">
      <w:pPr>
        <w:spacing w:before="120"/>
        <w:jc w:val="both"/>
        <w:rPr>
          <w:rFonts w:asciiTheme="majorHAnsi" w:hAnsiTheme="majorHAnsi" w:cs="Calibri Light"/>
          <w:noProof/>
          <w:sz w:val="22"/>
          <w:szCs w:val="22"/>
        </w:rPr>
      </w:pPr>
    </w:p>
    <w:p w:rsidR="001256D4" w:rsidRDefault="001256D4" w:rsidP="00296B6A">
      <w:pPr>
        <w:spacing w:before="120"/>
        <w:jc w:val="both"/>
        <w:rPr>
          <w:rFonts w:asciiTheme="majorHAnsi" w:hAnsiTheme="majorHAnsi" w:cs="Calibri Light"/>
          <w:noProof/>
          <w:sz w:val="22"/>
          <w:szCs w:val="22"/>
        </w:rPr>
      </w:pPr>
    </w:p>
    <w:p w:rsidR="001256D4" w:rsidRDefault="001256D4" w:rsidP="00296B6A">
      <w:pPr>
        <w:spacing w:before="120"/>
        <w:jc w:val="both"/>
        <w:rPr>
          <w:rFonts w:asciiTheme="majorHAnsi" w:hAnsiTheme="majorHAnsi" w:cs="Calibri Light"/>
          <w:noProof/>
          <w:sz w:val="22"/>
          <w:szCs w:val="22"/>
        </w:rPr>
      </w:pPr>
    </w:p>
    <w:p w:rsidR="001256D4" w:rsidRDefault="001256D4" w:rsidP="00296B6A">
      <w:pPr>
        <w:spacing w:before="120"/>
        <w:jc w:val="both"/>
        <w:rPr>
          <w:rFonts w:asciiTheme="majorHAnsi" w:hAnsiTheme="majorHAnsi" w:cs="Calibri Light"/>
          <w:noProof/>
          <w:sz w:val="22"/>
          <w:szCs w:val="22"/>
        </w:rPr>
      </w:pPr>
    </w:p>
    <w:p w:rsidR="001256D4" w:rsidRDefault="001256D4" w:rsidP="00296B6A">
      <w:pPr>
        <w:spacing w:before="120"/>
        <w:jc w:val="both"/>
        <w:rPr>
          <w:rFonts w:asciiTheme="majorHAnsi" w:hAnsiTheme="majorHAnsi" w:cs="Calibri Light"/>
          <w:noProof/>
          <w:sz w:val="22"/>
          <w:szCs w:val="22"/>
        </w:rPr>
      </w:pPr>
    </w:p>
    <w:p w:rsidR="001256D4" w:rsidRDefault="001256D4" w:rsidP="00296B6A">
      <w:pPr>
        <w:spacing w:before="120"/>
        <w:jc w:val="both"/>
        <w:rPr>
          <w:rFonts w:asciiTheme="majorHAnsi" w:hAnsiTheme="majorHAnsi" w:cs="Calibri Light"/>
          <w:noProof/>
          <w:sz w:val="22"/>
          <w:szCs w:val="22"/>
        </w:rPr>
      </w:pPr>
    </w:p>
    <w:p w:rsidR="001256D4" w:rsidRDefault="001256D4" w:rsidP="00296B6A">
      <w:pPr>
        <w:spacing w:before="120"/>
        <w:jc w:val="both"/>
        <w:rPr>
          <w:rFonts w:asciiTheme="majorHAnsi" w:hAnsiTheme="majorHAnsi" w:cs="Calibri Light"/>
          <w:noProof/>
          <w:sz w:val="22"/>
          <w:szCs w:val="22"/>
        </w:rPr>
      </w:pPr>
    </w:p>
    <w:p w:rsidR="001256D4" w:rsidRDefault="001256D4" w:rsidP="00296B6A">
      <w:pPr>
        <w:spacing w:before="120"/>
        <w:jc w:val="both"/>
        <w:rPr>
          <w:rFonts w:asciiTheme="majorHAnsi" w:hAnsiTheme="majorHAnsi" w:cs="Calibri Light"/>
          <w:noProof/>
          <w:sz w:val="22"/>
          <w:szCs w:val="22"/>
        </w:rPr>
      </w:pPr>
    </w:p>
    <w:p w:rsidR="001256D4" w:rsidRDefault="001256D4" w:rsidP="00296B6A">
      <w:pPr>
        <w:spacing w:before="120"/>
        <w:jc w:val="both"/>
        <w:rPr>
          <w:rFonts w:asciiTheme="majorHAnsi" w:hAnsiTheme="majorHAnsi" w:cs="Calibri Light"/>
          <w:noProof/>
          <w:sz w:val="22"/>
          <w:szCs w:val="22"/>
        </w:rPr>
      </w:pPr>
    </w:p>
    <w:p w:rsidR="001256D4" w:rsidRDefault="001256D4" w:rsidP="00296B6A">
      <w:pPr>
        <w:spacing w:before="120"/>
        <w:jc w:val="both"/>
        <w:rPr>
          <w:rFonts w:asciiTheme="majorHAnsi" w:hAnsiTheme="majorHAnsi" w:cs="Calibri Light"/>
          <w:noProof/>
          <w:sz w:val="22"/>
          <w:szCs w:val="22"/>
        </w:rPr>
      </w:pPr>
    </w:p>
    <w:p w:rsidR="001256D4" w:rsidRDefault="001256D4" w:rsidP="00296B6A">
      <w:pPr>
        <w:spacing w:before="120"/>
        <w:jc w:val="both"/>
        <w:rPr>
          <w:rFonts w:asciiTheme="majorHAnsi" w:hAnsiTheme="majorHAnsi" w:cs="Calibri Light"/>
          <w:noProof/>
          <w:sz w:val="22"/>
          <w:szCs w:val="22"/>
        </w:rPr>
      </w:pPr>
    </w:p>
    <w:p w:rsidR="001256D4" w:rsidRDefault="001256D4" w:rsidP="00296B6A">
      <w:pPr>
        <w:spacing w:before="120"/>
        <w:jc w:val="both"/>
        <w:rPr>
          <w:rFonts w:asciiTheme="majorHAnsi" w:hAnsiTheme="majorHAnsi" w:cs="Calibri Light"/>
          <w:noProof/>
          <w:sz w:val="22"/>
          <w:szCs w:val="22"/>
        </w:rPr>
      </w:pPr>
    </w:p>
    <w:p w:rsidR="00296B6A" w:rsidRPr="00103F17" w:rsidRDefault="00296B6A" w:rsidP="00296B6A">
      <w:pPr>
        <w:spacing w:before="120"/>
        <w:jc w:val="both"/>
        <w:rPr>
          <w:rFonts w:asciiTheme="majorHAnsi" w:hAnsiTheme="majorHAnsi" w:cs="Calibri Light"/>
          <w:sz w:val="22"/>
          <w:szCs w:val="22"/>
        </w:rPr>
      </w:pPr>
      <w:r>
        <w:rPr>
          <w:rFonts w:asciiTheme="majorHAnsi" w:hAnsiTheme="majorHAnsi" w:cs="Calibri Light"/>
          <w:noProof/>
          <w:sz w:val="22"/>
          <w:szCs w:val="22"/>
          <w:lang w:val="en-US" w:eastAsia="en-US"/>
        </w:rPr>
        <w:drawing>
          <wp:inline distT="0" distB="0" distL="0" distR="0">
            <wp:extent cx="1306031" cy="1306031"/>
            <wp:effectExtent l="25400" t="0" r="0" b="0"/>
            <wp:docPr id="2" name="Picture 1" descr="appg-logo-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pg-logo-small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757" cy="1312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F17">
        <w:rPr>
          <w:rFonts w:asciiTheme="majorHAnsi" w:hAnsiTheme="majorHAnsi" w:cs="Calibri Light"/>
          <w:noProof/>
          <w:sz w:val="22"/>
          <w:szCs w:val="22"/>
        </w:rPr>
        <w:t xml:space="preserve">                                                                   </w:t>
      </w:r>
    </w:p>
    <w:p w:rsidR="00296B6A" w:rsidRPr="00103F17" w:rsidRDefault="00296B6A">
      <w:pPr>
        <w:spacing w:before="120"/>
        <w:jc w:val="both"/>
        <w:rPr>
          <w:rFonts w:asciiTheme="majorHAnsi" w:hAnsiTheme="majorHAnsi" w:cs="Calibri"/>
          <w:sz w:val="22"/>
          <w:szCs w:val="28"/>
        </w:rPr>
      </w:pPr>
    </w:p>
    <w:sectPr w:rsidR="00296B6A" w:rsidRPr="00103F17" w:rsidSect="001256D4">
      <w:type w:val="continuous"/>
      <w:pgSz w:w="11906" w:h="16838"/>
      <w:pgMar w:top="720" w:right="1274" w:bottom="127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ambria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D8CE2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A15678"/>
    <w:multiLevelType w:val="hybridMultilevel"/>
    <w:tmpl w:val="CB26FA88"/>
    <w:lvl w:ilvl="0" w:tplc="2C622146">
      <w:start w:val="4"/>
      <w:numFmt w:val="decimal"/>
      <w:lvlText w:val="%1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31900"/>
    <w:multiLevelType w:val="hybridMultilevel"/>
    <w:tmpl w:val="F6B040A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C57AF9"/>
    <w:multiLevelType w:val="multilevel"/>
    <w:tmpl w:val="E714A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687409"/>
    <w:multiLevelType w:val="hybridMultilevel"/>
    <w:tmpl w:val="EEB88D70"/>
    <w:lvl w:ilvl="0" w:tplc="9EF24708">
      <w:start w:val="1"/>
      <w:numFmt w:val="decimal"/>
      <w:lvlText w:val="%1."/>
      <w:lvlJc w:val="left"/>
      <w:pPr>
        <w:ind w:left="585" w:hanging="585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210A42ED"/>
    <w:multiLevelType w:val="hybridMultilevel"/>
    <w:tmpl w:val="9B463AC6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285749E3"/>
    <w:multiLevelType w:val="hybridMultilevel"/>
    <w:tmpl w:val="AAA05588"/>
    <w:lvl w:ilvl="0" w:tplc="270C7ECC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BD11EF"/>
    <w:multiLevelType w:val="hybridMultilevel"/>
    <w:tmpl w:val="45B6D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EA56AD"/>
    <w:multiLevelType w:val="hybridMultilevel"/>
    <w:tmpl w:val="C2524994"/>
    <w:lvl w:ilvl="0" w:tplc="270C7EC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>
    <w:nsid w:val="3CF53B7E"/>
    <w:multiLevelType w:val="hybridMultilevel"/>
    <w:tmpl w:val="2E1C7022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>
    <w:nsid w:val="473C0FF5"/>
    <w:multiLevelType w:val="hybridMultilevel"/>
    <w:tmpl w:val="C1D20DB8"/>
    <w:lvl w:ilvl="0" w:tplc="270C7ECC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4B6B1EB0"/>
    <w:multiLevelType w:val="hybridMultilevel"/>
    <w:tmpl w:val="147C4D4C"/>
    <w:lvl w:ilvl="0" w:tplc="3306C3A4">
      <w:start w:val="1"/>
      <w:numFmt w:val="decimal"/>
      <w:lvlText w:val="%1."/>
      <w:lvlJc w:val="left"/>
      <w:pPr>
        <w:ind w:left="1513" w:hanging="5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74430A6B"/>
    <w:multiLevelType w:val="hybridMultilevel"/>
    <w:tmpl w:val="B0683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1573D1"/>
    <w:multiLevelType w:val="multilevel"/>
    <w:tmpl w:val="DD489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0"/>
  </w:num>
  <w:num w:numId="5">
    <w:abstractNumId w:val="6"/>
  </w:num>
  <w:num w:numId="6">
    <w:abstractNumId w:val="12"/>
  </w:num>
  <w:num w:numId="7">
    <w:abstractNumId w:val="10"/>
  </w:num>
  <w:num w:numId="8">
    <w:abstractNumId w:val="11"/>
  </w:num>
  <w:num w:numId="9">
    <w:abstractNumId w:val="8"/>
  </w:num>
  <w:num w:numId="10">
    <w:abstractNumId w:val="13"/>
  </w:num>
  <w:num w:numId="11">
    <w:abstractNumId w:val="7"/>
  </w:num>
  <w:num w:numId="12">
    <w:abstractNumId w:val="1"/>
  </w:num>
  <w:num w:numId="13">
    <w:abstractNumId w:val="9"/>
  </w:num>
  <w:num w:numId="14">
    <w:abstractNumId w:val="4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stylePaneFormatFilter w:val="1004"/>
  <w:doNotTrackMoves/>
  <w:defaultTabStop w:val="720"/>
  <w:drawingGridHorizontalSpacing w:val="110"/>
  <w:displayHorizontalDrawingGridEvery w:val="2"/>
  <w:characterSpacingControl w:val="doNotCompress"/>
  <w:savePreviewPicture/>
  <w:compat/>
  <w:rsids>
    <w:rsidRoot w:val="00982AC6"/>
    <w:rsid w:val="001256D4"/>
    <w:rsid w:val="00296B6A"/>
    <w:rsid w:val="005B47D7"/>
    <w:rsid w:val="00982AC6"/>
    <w:rsid w:val="00F8731E"/>
  </w:rsids>
  <m:mathPr>
    <m:mathFont m:val="Arial Black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sid w:val="00877845"/>
    <w:pPr>
      <w:spacing w:after="120" w:line="264" w:lineRule="auto"/>
    </w:pPr>
    <w:rPr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7845"/>
    <w:pPr>
      <w:keepNext/>
      <w:keepLines/>
      <w:spacing w:before="320" w:after="0" w:line="240" w:lineRule="auto"/>
      <w:outlineLvl w:val="0"/>
    </w:pPr>
    <w:rPr>
      <w:rFonts w:ascii="Calibri Light" w:eastAsia="SimSu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7845"/>
    <w:pPr>
      <w:keepNext/>
      <w:keepLines/>
      <w:spacing w:before="80" w:after="0" w:line="240" w:lineRule="auto"/>
      <w:outlineLvl w:val="1"/>
    </w:pPr>
    <w:rPr>
      <w:rFonts w:ascii="Calibri Light" w:eastAsia="SimSun" w:hAnsi="Calibri Light"/>
      <w:color w:val="40404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7845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44546A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7845"/>
    <w:pPr>
      <w:keepNext/>
      <w:keepLines/>
      <w:spacing w:before="40" w:after="0"/>
      <w:outlineLvl w:val="3"/>
    </w:pPr>
    <w:rPr>
      <w:rFonts w:ascii="Calibri Light" w:eastAsia="SimSun" w:hAnsi="Calibri Light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7845"/>
    <w:pPr>
      <w:keepNext/>
      <w:keepLines/>
      <w:spacing w:before="40" w:after="0"/>
      <w:outlineLvl w:val="4"/>
    </w:pPr>
    <w:rPr>
      <w:rFonts w:ascii="Calibri Light" w:eastAsia="SimSun" w:hAnsi="Calibri Light"/>
      <w:color w:val="44546A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7845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olor w:val="44546A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7845"/>
    <w:pPr>
      <w:keepNext/>
      <w:keepLines/>
      <w:spacing w:before="40" w:after="0"/>
      <w:outlineLvl w:val="6"/>
    </w:pPr>
    <w:rPr>
      <w:rFonts w:ascii="Calibri Light" w:eastAsia="SimSun" w:hAnsi="Calibri Light"/>
      <w:i/>
      <w:iCs/>
      <w:color w:val="1F4E79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7845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color w:val="44546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7845"/>
    <w:pPr>
      <w:keepNext/>
      <w:keepLines/>
      <w:spacing w:before="40" w:after="0"/>
      <w:outlineLvl w:val="8"/>
    </w:pPr>
    <w:rPr>
      <w:rFonts w:ascii="Calibri Light" w:eastAsia="SimSun" w:hAnsi="Calibri Light"/>
      <w:b/>
      <w:bCs/>
      <w:i/>
      <w:iCs/>
      <w:color w:val="44546A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2AC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2AC6"/>
    <w:rPr>
      <w:rFonts w:ascii="Tahoma" w:hAnsi="Tahoma" w:cs="Tahoma"/>
      <w:sz w:val="16"/>
      <w:szCs w:val="16"/>
    </w:rPr>
  </w:style>
  <w:style w:type="paragraph" w:customStyle="1" w:styleId="LightGrid-Accent31">
    <w:name w:val="Light Grid - Accent 31"/>
    <w:basedOn w:val="Normal"/>
    <w:uiPriority w:val="34"/>
    <w:rsid w:val="00982AC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B6B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B6B3C"/>
  </w:style>
  <w:style w:type="character" w:styleId="Hyperlink">
    <w:name w:val="Hyperlink"/>
    <w:uiPriority w:val="99"/>
    <w:unhideWhenUsed/>
    <w:rsid w:val="003A4365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877845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877845"/>
    <w:rPr>
      <w:rFonts w:ascii="Calibri Light" w:eastAsia="SimSun" w:hAnsi="Calibri Light" w:cs="Times New Roman"/>
      <w:color w:val="404040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877845"/>
    <w:rPr>
      <w:rFonts w:ascii="Calibri Light" w:eastAsia="SimSun" w:hAnsi="Calibri Light" w:cs="Times New Roman"/>
      <w:color w:val="44546A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877845"/>
    <w:rPr>
      <w:rFonts w:ascii="Calibri Light" w:eastAsia="SimSun" w:hAnsi="Calibri Light" w:cs="Times New Roman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877845"/>
    <w:rPr>
      <w:rFonts w:ascii="Calibri Light" w:eastAsia="SimSun" w:hAnsi="Calibri Light" w:cs="Times New Roman"/>
      <w:color w:val="44546A"/>
      <w:sz w:val="22"/>
      <w:szCs w:val="22"/>
    </w:rPr>
  </w:style>
  <w:style w:type="character" w:customStyle="1" w:styleId="Heading6Char">
    <w:name w:val="Heading 6 Char"/>
    <w:link w:val="Heading6"/>
    <w:uiPriority w:val="9"/>
    <w:semiHidden/>
    <w:rsid w:val="00877845"/>
    <w:rPr>
      <w:rFonts w:ascii="Calibri Light" w:eastAsia="SimSun" w:hAnsi="Calibri Light" w:cs="Times New Roman"/>
      <w:i/>
      <w:iCs/>
      <w:color w:val="44546A"/>
      <w:sz w:val="21"/>
      <w:szCs w:val="21"/>
    </w:rPr>
  </w:style>
  <w:style w:type="character" w:customStyle="1" w:styleId="Heading7Char">
    <w:name w:val="Heading 7 Char"/>
    <w:link w:val="Heading7"/>
    <w:uiPriority w:val="9"/>
    <w:semiHidden/>
    <w:rsid w:val="00877845"/>
    <w:rPr>
      <w:rFonts w:ascii="Calibri Light" w:eastAsia="SimSun" w:hAnsi="Calibri Light" w:cs="Times New Roman"/>
      <w:i/>
      <w:iCs/>
      <w:color w:val="1F4E79"/>
      <w:sz w:val="21"/>
      <w:szCs w:val="21"/>
    </w:rPr>
  </w:style>
  <w:style w:type="character" w:customStyle="1" w:styleId="Heading8Char">
    <w:name w:val="Heading 8 Char"/>
    <w:link w:val="Heading8"/>
    <w:uiPriority w:val="9"/>
    <w:semiHidden/>
    <w:rsid w:val="00877845"/>
    <w:rPr>
      <w:rFonts w:ascii="Calibri Light" w:eastAsia="SimSun" w:hAnsi="Calibri Light" w:cs="Times New Roman"/>
      <w:b/>
      <w:bCs/>
      <w:color w:val="44546A"/>
    </w:rPr>
  </w:style>
  <w:style w:type="character" w:customStyle="1" w:styleId="Heading9Char">
    <w:name w:val="Heading 9 Char"/>
    <w:link w:val="Heading9"/>
    <w:uiPriority w:val="9"/>
    <w:semiHidden/>
    <w:rsid w:val="00877845"/>
    <w:rPr>
      <w:rFonts w:ascii="Calibri Light" w:eastAsia="SimSun" w:hAnsi="Calibri Light" w:cs="Times New Roman"/>
      <w:b/>
      <w:bCs/>
      <w:i/>
      <w:iCs/>
      <w:color w:val="44546A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77845"/>
    <w:pPr>
      <w:spacing w:line="240" w:lineRule="auto"/>
    </w:pPr>
    <w:rPr>
      <w:b/>
      <w:bCs/>
      <w:smallCaps/>
      <w:color w:val="595959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877845"/>
    <w:pPr>
      <w:spacing w:after="0" w:line="240" w:lineRule="auto"/>
      <w:contextualSpacing/>
    </w:pPr>
    <w:rPr>
      <w:rFonts w:ascii="Calibri Light" w:eastAsia="SimSun" w:hAnsi="Calibri Light"/>
      <w:color w:val="5B9BD5"/>
      <w:spacing w:val="-10"/>
      <w:sz w:val="56"/>
      <w:szCs w:val="56"/>
    </w:rPr>
  </w:style>
  <w:style w:type="character" w:customStyle="1" w:styleId="TitleChar">
    <w:name w:val="Title Char"/>
    <w:link w:val="Title"/>
    <w:uiPriority w:val="10"/>
    <w:rsid w:val="00877845"/>
    <w:rPr>
      <w:rFonts w:ascii="Calibri Light" w:eastAsia="SimSun" w:hAnsi="Calibri Light" w:cs="Times New Roman"/>
      <w:color w:val="5B9BD5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7845"/>
    <w:pPr>
      <w:numPr>
        <w:ilvl w:val="1"/>
      </w:numPr>
      <w:spacing w:line="240" w:lineRule="auto"/>
    </w:pPr>
    <w:rPr>
      <w:rFonts w:ascii="Calibri Light" w:eastAsia="SimSun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877845"/>
    <w:rPr>
      <w:rFonts w:ascii="Calibri Light" w:eastAsia="SimSun" w:hAnsi="Calibri Light" w:cs="Times New Roman"/>
      <w:sz w:val="24"/>
      <w:szCs w:val="24"/>
    </w:rPr>
  </w:style>
  <w:style w:type="character" w:styleId="Strong">
    <w:name w:val="Strong"/>
    <w:uiPriority w:val="22"/>
    <w:qFormat/>
    <w:rsid w:val="00877845"/>
    <w:rPr>
      <w:b/>
      <w:bCs/>
    </w:rPr>
  </w:style>
  <w:style w:type="character" w:styleId="Emphasis">
    <w:name w:val="Emphasis"/>
    <w:uiPriority w:val="20"/>
    <w:qFormat/>
    <w:rsid w:val="00877845"/>
    <w:rPr>
      <w:i/>
      <w:iCs/>
    </w:rPr>
  </w:style>
  <w:style w:type="paragraph" w:styleId="NoSpacing">
    <w:name w:val="No Spacing"/>
    <w:uiPriority w:val="1"/>
    <w:qFormat/>
    <w:rsid w:val="00877845"/>
    <w:rPr>
      <w:lang w:eastAsia="en-GB"/>
    </w:rPr>
  </w:style>
  <w:style w:type="paragraph" w:styleId="Quote">
    <w:name w:val="Quote"/>
    <w:basedOn w:val="Normal"/>
    <w:next w:val="Normal"/>
    <w:link w:val="QuoteChar"/>
    <w:uiPriority w:val="29"/>
    <w:qFormat/>
    <w:rsid w:val="00877845"/>
    <w:pPr>
      <w:spacing w:before="160"/>
      <w:ind w:left="720" w:right="720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877845"/>
    <w:rPr>
      <w:i/>
      <w:iCs/>
      <w:color w:val="4040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7845"/>
    <w:pPr>
      <w:pBdr>
        <w:left w:val="single" w:sz="18" w:space="12" w:color="5B9BD5"/>
      </w:pBdr>
      <w:spacing w:before="100" w:beforeAutospacing="1" w:line="300" w:lineRule="auto"/>
      <w:ind w:left="1224" w:right="1224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IntenseQuoteChar">
    <w:name w:val="Intense Quote Char"/>
    <w:link w:val="IntenseQuote"/>
    <w:uiPriority w:val="30"/>
    <w:rsid w:val="00877845"/>
    <w:rPr>
      <w:rFonts w:ascii="Calibri Light" w:eastAsia="SimSun" w:hAnsi="Calibri Light" w:cs="Times New Roman"/>
      <w:color w:val="5B9BD5"/>
      <w:sz w:val="28"/>
      <w:szCs w:val="28"/>
    </w:rPr>
  </w:style>
  <w:style w:type="character" w:styleId="SubtleEmphasis">
    <w:name w:val="Subtle Emphasis"/>
    <w:uiPriority w:val="19"/>
    <w:qFormat/>
    <w:rsid w:val="00877845"/>
    <w:rPr>
      <w:i/>
      <w:iCs/>
      <w:color w:val="404040"/>
    </w:rPr>
  </w:style>
  <w:style w:type="character" w:styleId="IntenseEmphasis">
    <w:name w:val="Intense Emphasis"/>
    <w:uiPriority w:val="21"/>
    <w:qFormat/>
    <w:rsid w:val="00877845"/>
    <w:rPr>
      <w:b/>
      <w:bCs/>
      <w:i/>
      <w:iCs/>
    </w:rPr>
  </w:style>
  <w:style w:type="character" w:styleId="SubtleReference">
    <w:name w:val="Subtle Reference"/>
    <w:uiPriority w:val="31"/>
    <w:qFormat/>
    <w:rsid w:val="00877845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877845"/>
    <w:rPr>
      <w:b/>
      <w:bCs/>
      <w:smallCaps/>
      <w:spacing w:val="5"/>
      <w:u w:val="single"/>
    </w:rPr>
  </w:style>
  <w:style w:type="character" w:styleId="BookTitle">
    <w:name w:val="Book Title"/>
    <w:uiPriority w:val="33"/>
    <w:qFormat/>
    <w:rsid w:val="00877845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7845"/>
    <w:pPr>
      <w:outlineLvl w:val="9"/>
    </w:pPr>
  </w:style>
  <w:style w:type="character" w:customStyle="1" w:styleId="Mention">
    <w:name w:val="Mention"/>
    <w:uiPriority w:val="99"/>
    <w:semiHidden/>
    <w:unhideWhenUsed/>
    <w:rsid w:val="006A202E"/>
    <w:rPr>
      <w:color w:val="2B579A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79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9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12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63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953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0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210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51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017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634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7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8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://www.nsead.org/APPG/papers.aspx" TargetMode="External"/><Relationship Id="rId7" Type="http://schemas.openxmlformats.org/officeDocument/2006/relationships/hyperlink" Target="http://www.nsead.org/downloads/Dr_Peter_Gregory_presentation,_Art_and_Design_in_primary_ITE.pdf" TargetMode="External"/><Relationship Id="rId8" Type="http://schemas.openxmlformats.org/officeDocument/2006/relationships/hyperlink" Target="http://www.nsead.org/downloads/Rachel_Payne_The_impact_of_secondary_PGCE_closures.pdf" TargetMode="External"/><Relationship Id="rId9" Type="http://schemas.openxmlformats.org/officeDocument/2006/relationships/hyperlink" Target="http://www.parliament.uk/visiting/online-tours/virtualtours/portcullis-house/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970</Words>
  <Characters>5534</Characters>
  <Application>Microsoft Macintosh Word</Application>
  <DocSecurity>0</DocSecurity>
  <Lines>46</Lines>
  <Paragraphs>11</Paragraphs>
  <ScaleCrop>false</ScaleCrop>
  <Company>Houses of Parliament</Company>
  <LinksUpToDate>false</LinksUpToDate>
  <CharactersWithSpaces>6796</CharactersWithSpaces>
  <SharedDoc>false</SharedDoc>
  <HLinks>
    <vt:vector size="30" baseType="variant">
      <vt:variant>
        <vt:i4>80</vt:i4>
      </vt:variant>
      <vt:variant>
        <vt:i4>12</vt:i4>
      </vt:variant>
      <vt:variant>
        <vt:i4>0</vt:i4>
      </vt:variant>
      <vt:variant>
        <vt:i4>5</vt:i4>
      </vt:variant>
      <vt:variant>
        <vt:lpwstr>http://www.parliament.uk/visiting/online-tours/virtualtours/portcullis-house/</vt:lpwstr>
      </vt:variant>
      <vt:variant>
        <vt:lpwstr/>
      </vt:variant>
      <vt:variant>
        <vt:i4>3276811</vt:i4>
      </vt:variant>
      <vt:variant>
        <vt:i4>9</vt:i4>
      </vt:variant>
      <vt:variant>
        <vt:i4>0</vt:i4>
      </vt:variant>
      <vt:variant>
        <vt:i4>5</vt:i4>
      </vt:variant>
      <vt:variant>
        <vt:lpwstr>http://www.nsead.org/downloads/Rachel_Payne_The_impact_of_secondary_PGCE_closures.pdf</vt:lpwstr>
      </vt:variant>
      <vt:variant>
        <vt:lpwstr/>
      </vt:variant>
      <vt:variant>
        <vt:i4>7274523</vt:i4>
      </vt:variant>
      <vt:variant>
        <vt:i4>6</vt:i4>
      </vt:variant>
      <vt:variant>
        <vt:i4>0</vt:i4>
      </vt:variant>
      <vt:variant>
        <vt:i4>5</vt:i4>
      </vt:variant>
      <vt:variant>
        <vt:lpwstr>http://www.nsead.org/downloads/Dr_Peter_Gregory_presentation,_Art_and_Design_in_primary_ITE.pdf</vt:lpwstr>
      </vt:variant>
      <vt:variant>
        <vt:lpwstr/>
      </vt:variant>
      <vt:variant>
        <vt:i4>1310729</vt:i4>
      </vt:variant>
      <vt:variant>
        <vt:i4>3</vt:i4>
      </vt:variant>
      <vt:variant>
        <vt:i4>0</vt:i4>
      </vt:variant>
      <vt:variant>
        <vt:i4>5</vt:i4>
      </vt:variant>
      <vt:variant>
        <vt:lpwstr>http://www.nsead.org/APPG/papers.aspx</vt:lpwstr>
      </vt:variant>
      <vt:variant>
        <vt:lpwstr/>
      </vt:variant>
      <vt:variant>
        <vt:i4>1310729</vt:i4>
      </vt:variant>
      <vt:variant>
        <vt:i4>0</vt:i4>
      </vt:variant>
      <vt:variant>
        <vt:i4>0</vt:i4>
      </vt:variant>
      <vt:variant>
        <vt:i4>5</vt:i4>
      </vt:variant>
      <vt:variant>
        <vt:lpwstr>http://www.nsead.org/APPG/papers.aspx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cp:lastModifiedBy>Sophie Leach</cp:lastModifiedBy>
  <cp:revision>3</cp:revision>
  <cp:lastPrinted>2014-06-24T14:09:00Z</cp:lastPrinted>
  <dcterms:created xsi:type="dcterms:W3CDTF">2017-03-28T12:51:00Z</dcterms:created>
  <dcterms:modified xsi:type="dcterms:W3CDTF">2017-03-28T12:59:00Z</dcterms:modified>
</cp:coreProperties>
</file>