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829D" w14:textId="77777777" w:rsidR="00B50035" w:rsidRDefault="00B50035" w:rsidP="002E79F5">
      <w:pPr>
        <w:spacing w:line="276" w:lineRule="auto"/>
      </w:pPr>
      <w:r>
        <w:rPr>
          <w:noProof/>
        </w:rPr>
        <w:drawing>
          <wp:inline distT="0" distB="0" distL="0" distR="0" wp14:anchorId="7A3B5F53" wp14:editId="676C12B1">
            <wp:extent cx="1133475" cy="1133475"/>
            <wp:effectExtent l="0" t="0" r="0" b="0"/>
            <wp:docPr id="8219539" name="Picture 821953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95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p>
    <w:p w14:paraId="4B83C0C0" w14:textId="77777777" w:rsidR="002E79F5" w:rsidRPr="002E79F5" w:rsidRDefault="002E79F5" w:rsidP="002E79F5">
      <w:pPr>
        <w:spacing w:line="276" w:lineRule="auto"/>
        <w:rPr>
          <w:rFonts w:ascii="Calibri" w:eastAsia="Calibri" w:hAnsi="Calibri" w:cs="Calibri"/>
        </w:rPr>
      </w:pPr>
    </w:p>
    <w:p w14:paraId="22902F69" w14:textId="3A117A0B" w:rsidR="285A7745" w:rsidRDefault="285A7745" w:rsidP="002E79F5">
      <w:pPr>
        <w:spacing w:line="276" w:lineRule="auto"/>
        <w:rPr>
          <w:rFonts w:ascii="Calibri" w:eastAsia="Calibri" w:hAnsi="Calibri" w:cs="Calibri"/>
          <w:sz w:val="24"/>
          <w:szCs w:val="24"/>
        </w:rPr>
      </w:pPr>
      <w:r w:rsidRPr="592E1118">
        <w:rPr>
          <w:rFonts w:ascii="Calibri" w:eastAsia="Calibri" w:hAnsi="Calibri" w:cs="Calibri"/>
          <w:sz w:val="32"/>
          <w:szCs w:val="32"/>
        </w:rPr>
        <w:t>The National Art and Design Education Conference</w:t>
      </w:r>
      <w:r>
        <w:br/>
      </w:r>
      <w:r w:rsidRPr="592E1118">
        <w:rPr>
          <w:rFonts w:ascii="Calibri" w:eastAsia="Calibri" w:hAnsi="Calibri" w:cs="Calibri"/>
          <w:sz w:val="24"/>
          <w:szCs w:val="24"/>
        </w:rPr>
        <w:t>Leading better practice for art, craft and design educators across the UK</w:t>
      </w:r>
    </w:p>
    <w:p w14:paraId="0DD8B802" w14:textId="36168FD2" w:rsidR="592E1118" w:rsidRDefault="592E1118" w:rsidP="002E79F5">
      <w:pPr>
        <w:spacing w:line="276" w:lineRule="auto"/>
        <w:rPr>
          <w:rFonts w:ascii="Calibri" w:eastAsia="Calibri" w:hAnsi="Calibri" w:cs="Calibri"/>
        </w:rPr>
      </w:pPr>
    </w:p>
    <w:p w14:paraId="50F572C2" w14:textId="77777777" w:rsidR="002E79F5" w:rsidRPr="002E79F5" w:rsidRDefault="002E79F5" w:rsidP="002E79F5">
      <w:pPr>
        <w:spacing w:line="276" w:lineRule="auto"/>
        <w:rPr>
          <w:rFonts w:ascii="Calibri" w:eastAsia="Calibri" w:hAnsi="Calibri" w:cs="Calibri"/>
        </w:rPr>
      </w:pPr>
    </w:p>
    <w:p w14:paraId="16482BDE" w14:textId="55512E8E" w:rsidR="285A7745" w:rsidRDefault="285A7745" w:rsidP="002E79F5">
      <w:pPr>
        <w:spacing w:line="276" w:lineRule="auto"/>
        <w:rPr>
          <w:rFonts w:ascii="Calibri" w:eastAsia="Calibri" w:hAnsi="Calibri" w:cs="Calibri"/>
          <w:sz w:val="28"/>
          <w:szCs w:val="28"/>
        </w:rPr>
      </w:pPr>
      <w:r w:rsidRPr="0C6AE766">
        <w:rPr>
          <w:rFonts w:ascii="Calibri" w:eastAsia="Calibri" w:hAnsi="Calibri" w:cs="Calibri"/>
          <w:sz w:val="28"/>
          <w:szCs w:val="28"/>
        </w:rPr>
        <w:t>202</w:t>
      </w:r>
      <w:r w:rsidR="4F66CE2D" w:rsidRPr="0C6AE766">
        <w:rPr>
          <w:rFonts w:ascii="Calibri" w:eastAsia="Calibri" w:hAnsi="Calibri" w:cs="Calibri"/>
          <w:sz w:val="28"/>
          <w:szCs w:val="28"/>
        </w:rPr>
        <w:t>6</w:t>
      </w:r>
      <w:r w:rsidR="0402931A" w:rsidRPr="0C6AE766">
        <w:rPr>
          <w:rFonts w:ascii="Calibri" w:eastAsia="Calibri" w:hAnsi="Calibri" w:cs="Calibri"/>
          <w:sz w:val="28"/>
          <w:szCs w:val="28"/>
        </w:rPr>
        <w:t xml:space="preserve"> </w:t>
      </w:r>
      <w:r w:rsidR="61626F20" w:rsidRPr="0C6AE766">
        <w:rPr>
          <w:rFonts w:ascii="Calibri" w:eastAsia="Calibri" w:hAnsi="Calibri" w:cs="Calibri"/>
          <w:sz w:val="28"/>
          <w:szCs w:val="28"/>
        </w:rPr>
        <w:t>C</w:t>
      </w:r>
      <w:r w:rsidR="0402931A" w:rsidRPr="0C6AE766">
        <w:rPr>
          <w:rFonts w:ascii="Calibri" w:eastAsia="Calibri" w:hAnsi="Calibri" w:cs="Calibri"/>
          <w:sz w:val="28"/>
          <w:szCs w:val="28"/>
        </w:rPr>
        <w:t>onference:</w:t>
      </w:r>
      <w:r w:rsidRPr="0C6AE766">
        <w:rPr>
          <w:rFonts w:ascii="Calibri" w:eastAsia="Calibri" w:hAnsi="Calibri" w:cs="Calibri"/>
          <w:sz w:val="28"/>
          <w:szCs w:val="28"/>
        </w:rPr>
        <w:t xml:space="preserve"> </w:t>
      </w:r>
      <w:r w:rsidR="67F37D7B" w:rsidRPr="0C6AE766">
        <w:rPr>
          <w:rFonts w:ascii="Calibri" w:eastAsia="Calibri" w:hAnsi="Calibri" w:cs="Calibri"/>
          <w:color w:val="333333"/>
          <w:sz w:val="28"/>
          <w:szCs w:val="28"/>
        </w:rPr>
        <w:t>Creative Curriculums: Care, risk and courage</w:t>
      </w:r>
    </w:p>
    <w:tbl>
      <w:tblPr>
        <w:tblStyle w:val="TableGrid"/>
        <w:tblW w:w="9360" w:type="dxa"/>
        <w:tblLayout w:type="fixed"/>
        <w:tblCellMar>
          <w:top w:w="85" w:type="dxa"/>
          <w:left w:w="85" w:type="dxa"/>
          <w:bottom w:w="85" w:type="dxa"/>
          <w:right w:w="85" w:type="dxa"/>
        </w:tblCellMar>
        <w:tblLook w:val="06A0" w:firstRow="1" w:lastRow="0" w:firstColumn="1" w:lastColumn="0" w:noHBand="1" w:noVBand="1"/>
      </w:tblPr>
      <w:tblGrid>
        <w:gridCol w:w="2405"/>
        <w:gridCol w:w="6955"/>
      </w:tblGrid>
      <w:tr w:rsidR="00B50035" w:rsidRPr="001A7258" w14:paraId="4D171150" w14:textId="77777777" w:rsidTr="002E79F5">
        <w:tc>
          <w:tcPr>
            <w:tcW w:w="2405" w:type="dxa"/>
          </w:tcPr>
          <w:p w14:paraId="154B7417" w14:textId="1E72A441" w:rsidR="00B50035" w:rsidRPr="001A7258" w:rsidRDefault="00B50035" w:rsidP="002E79F5">
            <w:pPr>
              <w:spacing w:line="276" w:lineRule="auto"/>
              <w:rPr>
                <w:rFonts w:cstheme="minorHAnsi"/>
              </w:rPr>
            </w:pPr>
            <w:r w:rsidRPr="001A7258">
              <w:rPr>
                <w:rFonts w:cstheme="minorHAnsi"/>
              </w:rPr>
              <w:t>Name of teacher requesting CPD</w:t>
            </w:r>
            <w:r w:rsidR="002E79F5">
              <w:rPr>
                <w:rFonts w:cstheme="minorHAnsi"/>
              </w:rPr>
              <w:t>:</w:t>
            </w:r>
          </w:p>
        </w:tc>
        <w:tc>
          <w:tcPr>
            <w:tcW w:w="6955" w:type="dxa"/>
          </w:tcPr>
          <w:p w14:paraId="0AB140FE" w14:textId="77777777" w:rsidR="00B50035" w:rsidRPr="002E79F5" w:rsidRDefault="00B50035" w:rsidP="002E79F5">
            <w:pPr>
              <w:spacing w:line="276" w:lineRule="auto"/>
              <w:rPr>
                <w:rFonts w:asciiTheme="majorHAnsi" w:hAnsiTheme="majorHAnsi" w:cstheme="majorHAnsi"/>
                <w:i/>
                <w:iCs/>
              </w:rPr>
            </w:pPr>
            <w:r w:rsidRPr="002E79F5">
              <w:rPr>
                <w:rFonts w:asciiTheme="majorHAnsi" w:hAnsiTheme="majorHAnsi" w:cstheme="majorHAnsi"/>
                <w:i/>
                <w:iCs/>
              </w:rPr>
              <w:t>(Teacher to complete)</w:t>
            </w:r>
          </w:p>
        </w:tc>
      </w:tr>
      <w:tr w:rsidR="00B50035" w:rsidRPr="001A7258" w14:paraId="2847762B" w14:textId="77777777" w:rsidTr="002E79F5">
        <w:tc>
          <w:tcPr>
            <w:tcW w:w="2405" w:type="dxa"/>
          </w:tcPr>
          <w:p w14:paraId="103CBB7A" w14:textId="0F372913" w:rsidR="00B50035" w:rsidRPr="001A7258" w:rsidRDefault="00B50035" w:rsidP="002E79F5">
            <w:pPr>
              <w:spacing w:line="276" w:lineRule="auto"/>
            </w:pPr>
            <w:r w:rsidRPr="01797265">
              <w:t>Focus of this co</w:t>
            </w:r>
            <w:r w:rsidR="20D9C1D3" w:rsidRPr="01797265">
              <w:t>nference</w:t>
            </w:r>
            <w:r w:rsidRPr="01797265">
              <w:t>:</w:t>
            </w:r>
          </w:p>
          <w:p w14:paraId="04F102B4" w14:textId="77777777" w:rsidR="00B50035" w:rsidRPr="001A7258" w:rsidRDefault="00B50035" w:rsidP="002E79F5">
            <w:pPr>
              <w:spacing w:line="276" w:lineRule="auto"/>
              <w:rPr>
                <w:rFonts w:cstheme="minorHAnsi"/>
              </w:rPr>
            </w:pPr>
          </w:p>
        </w:tc>
        <w:tc>
          <w:tcPr>
            <w:tcW w:w="6955" w:type="dxa"/>
          </w:tcPr>
          <w:p w14:paraId="2D015C87" w14:textId="67A6B2F6" w:rsidR="00B50035" w:rsidRPr="002E79F5" w:rsidRDefault="7E681902" w:rsidP="002E79F5">
            <w:pPr>
              <w:shd w:val="clear" w:color="auto" w:fill="FFFFFF" w:themeFill="background1"/>
              <w:spacing w:line="276" w:lineRule="auto"/>
              <w:rPr>
                <w:rFonts w:eastAsiaTheme="minorEastAsia"/>
                <w:color w:val="000000" w:themeColor="text1"/>
              </w:rPr>
            </w:pPr>
            <w:r w:rsidRPr="0C6AE766">
              <w:rPr>
                <w:rFonts w:eastAsiaTheme="minorEastAsia"/>
                <w:color w:val="000000" w:themeColor="text1"/>
              </w:rPr>
              <w:t xml:space="preserve">NSEAD’s Annual Conference brings together art educators from across the UK, from all phases and sectors engaged in art, craft and design education. A key event in your calendar, the conference is your opportunity to keep up to date with the latest developments for our subject, connect with others and exchange ideas. </w:t>
            </w:r>
          </w:p>
        </w:tc>
      </w:tr>
      <w:tr w:rsidR="00B50035" w:rsidRPr="001A7258" w14:paraId="4AFD496E" w14:textId="77777777" w:rsidTr="002E79F5">
        <w:tc>
          <w:tcPr>
            <w:tcW w:w="2405" w:type="dxa"/>
          </w:tcPr>
          <w:p w14:paraId="588D2244" w14:textId="338C0F80" w:rsidR="00B50035" w:rsidRPr="001A7258" w:rsidRDefault="3CDD8551" w:rsidP="002E79F5">
            <w:pPr>
              <w:spacing w:line="276" w:lineRule="auto"/>
            </w:pPr>
            <w:r w:rsidRPr="6AB1FEFC">
              <w:t xml:space="preserve">What </w:t>
            </w:r>
            <w:r w:rsidR="00B50035" w:rsidRPr="6AB1FEFC">
              <w:t xml:space="preserve">will </w:t>
            </w:r>
            <w:r w:rsidR="002166F5" w:rsidRPr="6AB1FEFC">
              <w:t>attendees</w:t>
            </w:r>
            <w:r w:rsidR="00B50035" w:rsidRPr="6AB1FEFC">
              <w:t xml:space="preserve"> learn?</w:t>
            </w:r>
          </w:p>
          <w:p w14:paraId="396871F4" w14:textId="77777777" w:rsidR="00B50035" w:rsidRPr="001A7258" w:rsidRDefault="00B50035" w:rsidP="002E79F5">
            <w:pPr>
              <w:spacing w:line="276" w:lineRule="auto"/>
              <w:rPr>
                <w:rFonts w:cstheme="minorHAnsi"/>
              </w:rPr>
            </w:pPr>
          </w:p>
        </w:tc>
        <w:tc>
          <w:tcPr>
            <w:tcW w:w="6955" w:type="dxa"/>
          </w:tcPr>
          <w:p w14:paraId="51DF985A" w14:textId="77777777" w:rsidR="002E79F5" w:rsidRDefault="6F1FADAE" w:rsidP="002E79F5">
            <w:pPr>
              <w:spacing w:after="120" w:line="276" w:lineRule="auto"/>
              <w:rPr>
                <w:rFonts w:eastAsiaTheme="minorEastAsia"/>
                <w:color w:val="333333"/>
              </w:rPr>
            </w:pPr>
            <w:r w:rsidRPr="0119D1C9">
              <w:rPr>
                <w:rFonts w:eastAsiaTheme="minorEastAsia"/>
                <w:color w:val="333333"/>
              </w:rPr>
              <w:t>Creative bravery is central to art, craft and design education. As teachers of art, craft and design we navigate risky territories of practice. We encourage our learners to take creative risks, experiment, think critically, face challenging issues and be comfortable with uncertainty. How do we ensure that we are able to nurture creative courage, whilst maintaining our classrooms and studios as safe spaces for us and our learners? And we ask, how might our subject help us preserve our health and well-being in the face of societal and global challenges</w:t>
            </w:r>
            <w:r w:rsidR="002E79F5">
              <w:rPr>
                <w:rFonts w:eastAsiaTheme="minorEastAsia"/>
                <w:color w:val="333333"/>
              </w:rPr>
              <w:t>.</w:t>
            </w:r>
          </w:p>
          <w:p w14:paraId="4E566FE2" w14:textId="78B1A3A3" w:rsidR="002E79F5" w:rsidRDefault="6F1FADAE" w:rsidP="002E79F5">
            <w:pPr>
              <w:spacing w:after="120" w:line="276" w:lineRule="auto"/>
              <w:rPr>
                <w:rFonts w:eastAsiaTheme="minorEastAsia"/>
                <w:color w:val="333333"/>
              </w:rPr>
            </w:pPr>
            <w:r w:rsidRPr="0119D1C9">
              <w:rPr>
                <w:rFonts w:eastAsiaTheme="minorEastAsia"/>
                <w:color w:val="333333"/>
              </w:rPr>
              <w:t>This conference invites us to consider creative, personal and professional risks that we encounter in our practice as educators, and the ways that we can navigate them with care and confidence.</w:t>
            </w:r>
          </w:p>
          <w:p w14:paraId="286F2579" w14:textId="0D9CAAF0" w:rsidR="006C7C08" w:rsidRPr="002E79F5" w:rsidRDefault="6F1FADAE" w:rsidP="002E79F5">
            <w:pPr>
              <w:shd w:val="clear" w:color="auto" w:fill="FEFEFE"/>
              <w:spacing w:after="120" w:line="276" w:lineRule="auto"/>
              <w:rPr>
                <w:rFonts w:eastAsiaTheme="minorEastAsia"/>
                <w:color w:val="333333"/>
              </w:rPr>
            </w:pPr>
            <w:r w:rsidRPr="0119D1C9">
              <w:rPr>
                <w:rFonts w:eastAsiaTheme="minorEastAsia"/>
                <w:color w:val="333333"/>
              </w:rPr>
              <w:t xml:space="preserve">The </w:t>
            </w:r>
            <w:proofErr w:type="spellStart"/>
            <w:r w:rsidRPr="0119D1C9">
              <w:rPr>
                <w:rFonts w:eastAsiaTheme="minorEastAsia"/>
                <w:color w:val="333333"/>
              </w:rPr>
              <w:t>programme</w:t>
            </w:r>
            <w:proofErr w:type="spellEnd"/>
            <w:r w:rsidRPr="0119D1C9">
              <w:rPr>
                <w:rFonts w:eastAsiaTheme="minorEastAsia"/>
                <w:color w:val="333333"/>
              </w:rPr>
              <w:t xml:space="preserve"> combines inspiring presentations with the latest research and information to help you and your learners. Workshop sessions will provide an active space for you to develop your own professional practice, with learning that you will take directly back to the classroom and studio.</w:t>
            </w:r>
          </w:p>
        </w:tc>
      </w:tr>
      <w:tr w:rsidR="00B50035" w:rsidRPr="001A7258" w14:paraId="690711CD" w14:textId="77777777" w:rsidTr="002E79F5">
        <w:tc>
          <w:tcPr>
            <w:tcW w:w="2405" w:type="dxa"/>
          </w:tcPr>
          <w:p w14:paraId="71F6DCD2" w14:textId="42121F43" w:rsidR="00B50035" w:rsidRPr="001A7258" w:rsidRDefault="00B50035" w:rsidP="002E79F5">
            <w:pPr>
              <w:spacing w:line="276" w:lineRule="auto"/>
            </w:pPr>
            <w:r w:rsidRPr="6AB1FEFC">
              <w:lastRenderedPageBreak/>
              <w:t>How will this develop professional practice for specialist art</w:t>
            </w:r>
            <w:r w:rsidR="1828DF39" w:rsidRPr="6AB1FEFC">
              <w:t>,</w:t>
            </w:r>
            <w:r w:rsidRPr="6AB1FEFC">
              <w:t xml:space="preserve"> craft and design teachers?</w:t>
            </w:r>
          </w:p>
          <w:p w14:paraId="268258A8" w14:textId="77777777" w:rsidR="00B50035" w:rsidRPr="001A7258" w:rsidRDefault="00B50035" w:rsidP="002E79F5">
            <w:pPr>
              <w:spacing w:line="276" w:lineRule="auto"/>
              <w:rPr>
                <w:rFonts w:cstheme="minorHAnsi"/>
              </w:rPr>
            </w:pPr>
          </w:p>
        </w:tc>
        <w:tc>
          <w:tcPr>
            <w:tcW w:w="6955" w:type="dxa"/>
          </w:tcPr>
          <w:p w14:paraId="2A6BA66F" w14:textId="447C5CE4"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Explore the conditions that foster safe learning environments</w:t>
            </w:r>
          </w:p>
          <w:p w14:paraId="30219474" w14:textId="272FE8A3"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Discover practical steps that foster creative curricular</w:t>
            </w:r>
          </w:p>
          <w:p w14:paraId="2499D64E" w14:textId="1522BB2F"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Tools for navigating complex, sensitive or challenging themes with confidence and care</w:t>
            </w:r>
          </w:p>
          <w:p w14:paraId="1880E1BB" w14:textId="2A0A6DBD"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Connection with a community of educators committed to thoughtful, courageous practice</w:t>
            </w:r>
          </w:p>
          <w:p w14:paraId="67C61B07" w14:textId="7C127838"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 xml:space="preserve">Stay updated on curriculum developments </w:t>
            </w:r>
          </w:p>
          <w:p w14:paraId="08668AF7" w14:textId="097CC2E6"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Be inspired, refreshed, enthused</w:t>
            </w:r>
          </w:p>
          <w:p w14:paraId="7C0AACD7" w14:textId="48BEA1E4" w:rsidR="00B50035" w:rsidRPr="001D0D56"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Ask questions, get the answers you need</w:t>
            </w:r>
          </w:p>
          <w:p w14:paraId="11FE6F78" w14:textId="7C360965" w:rsidR="00B50035" w:rsidRPr="002E79F5" w:rsidRDefault="527DDD80" w:rsidP="002E79F5">
            <w:pPr>
              <w:pStyle w:val="ListParagraph"/>
              <w:numPr>
                <w:ilvl w:val="0"/>
                <w:numId w:val="1"/>
              </w:numPr>
              <w:spacing w:line="276" w:lineRule="auto"/>
              <w:rPr>
                <w:rFonts w:ascii="Calibri" w:eastAsia="Calibri" w:hAnsi="Calibri" w:cs="Calibri"/>
              </w:rPr>
            </w:pPr>
            <w:r w:rsidRPr="6942768D">
              <w:rPr>
                <w:rFonts w:ascii="Calibri" w:eastAsia="Calibri" w:hAnsi="Calibri" w:cs="Calibri"/>
              </w:rPr>
              <w:t>Lead our subject with confidence</w:t>
            </w:r>
          </w:p>
        </w:tc>
      </w:tr>
    </w:tbl>
    <w:p w14:paraId="4F42E30D" w14:textId="77777777" w:rsidR="00B50035" w:rsidRDefault="00B50035" w:rsidP="002E79F5">
      <w:pPr>
        <w:spacing w:line="276" w:lineRule="auto"/>
        <w:rPr>
          <w:rFonts w:cstheme="minorHAnsi"/>
        </w:rPr>
      </w:pPr>
    </w:p>
    <w:p w14:paraId="540D540C" w14:textId="77777777" w:rsidR="00B50035" w:rsidRPr="002E79F5" w:rsidRDefault="00B50035" w:rsidP="002E79F5">
      <w:pPr>
        <w:spacing w:line="276" w:lineRule="auto"/>
        <w:rPr>
          <w:rFonts w:ascii="Calibri" w:hAnsi="Calibri" w:cs="Calibri"/>
          <w:b/>
          <w:bCs/>
        </w:rPr>
      </w:pPr>
      <w:r w:rsidRPr="002E79F5">
        <w:rPr>
          <w:rFonts w:ascii="Calibri" w:hAnsi="Calibri" w:cs="Calibri"/>
          <w:b/>
          <w:bCs/>
        </w:rPr>
        <w:t>For teachers to complete</w:t>
      </w:r>
    </w:p>
    <w:tbl>
      <w:tblPr>
        <w:tblStyle w:val="TableGrid"/>
        <w:tblW w:w="9360" w:type="dxa"/>
        <w:tblLayout w:type="fixed"/>
        <w:tblLook w:val="06A0" w:firstRow="1" w:lastRow="0" w:firstColumn="1" w:lastColumn="0" w:noHBand="1" w:noVBand="1"/>
      </w:tblPr>
      <w:tblGrid>
        <w:gridCol w:w="2405"/>
        <w:gridCol w:w="6955"/>
      </w:tblGrid>
      <w:tr w:rsidR="00B50035" w:rsidRPr="001A7258" w14:paraId="6C199BBC" w14:textId="77777777" w:rsidTr="002E79F5">
        <w:trPr>
          <w:trHeight w:val="300"/>
        </w:trPr>
        <w:tc>
          <w:tcPr>
            <w:tcW w:w="2405" w:type="dxa"/>
          </w:tcPr>
          <w:p w14:paraId="1E5E2089" w14:textId="77777777" w:rsidR="00B50035" w:rsidRPr="001A7258" w:rsidRDefault="00B50035" w:rsidP="002E79F5">
            <w:pPr>
              <w:spacing w:line="276" w:lineRule="auto"/>
              <w:rPr>
                <w:rFonts w:cstheme="minorHAnsi"/>
              </w:rPr>
            </w:pPr>
            <w:r w:rsidRPr="001A7258">
              <w:rPr>
                <w:rFonts w:cstheme="minorHAnsi"/>
              </w:rPr>
              <w:t>How will my students benefit?</w:t>
            </w:r>
          </w:p>
          <w:p w14:paraId="1C12E8E2" w14:textId="77777777" w:rsidR="00B50035" w:rsidRPr="001A7258" w:rsidRDefault="00B50035" w:rsidP="002E79F5">
            <w:pPr>
              <w:spacing w:line="276" w:lineRule="auto"/>
              <w:rPr>
                <w:rFonts w:cstheme="minorHAnsi"/>
              </w:rPr>
            </w:pPr>
          </w:p>
        </w:tc>
        <w:tc>
          <w:tcPr>
            <w:tcW w:w="6955" w:type="dxa"/>
          </w:tcPr>
          <w:p w14:paraId="1C7CFA06" w14:textId="150C46A0" w:rsidR="00B50035" w:rsidRPr="002E79F5" w:rsidRDefault="00B50035" w:rsidP="002E79F5">
            <w:pPr>
              <w:spacing w:line="276" w:lineRule="auto"/>
              <w:rPr>
                <w:rFonts w:asciiTheme="majorHAnsi" w:hAnsiTheme="majorHAnsi" w:cstheme="majorHAnsi"/>
                <w:i/>
                <w:iCs/>
              </w:rPr>
            </w:pPr>
            <w:r w:rsidRPr="002E79F5">
              <w:rPr>
                <w:rFonts w:asciiTheme="majorHAnsi" w:hAnsiTheme="majorHAnsi" w:cstheme="majorHAnsi"/>
                <w:i/>
                <w:iCs/>
              </w:rPr>
              <w:t>(</w:t>
            </w:r>
            <w:r w:rsidR="7CD454BB" w:rsidRPr="002E79F5">
              <w:rPr>
                <w:rFonts w:asciiTheme="majorHAnsi" w:hAnsiTheme="majorHAnsi" w:cstheme="majorHAnsi"/>
                <w:i/>
                <w:iCs/>
              </w:rPr>
              <w:t>M</w:t>
            </w:r>
            <w:r w:rsidRPr="002E79F5">
              <w:rPr>
                <w:rFonts w:asciiTheme="majorHAnsi" w:hAnsiTheme="majorHAnsi" w:cstheme="majorHAnsi"/>
                <w:i/>
                <w:iCs/>
              </w:rPr>
              <w:t xml:space="preserve">ay relate to: </w:t>
            </w:r>
            <w:r w:rsidR="5CB43E04" w:rsidRPr="002E79F5">
              <w:rPr>
                <w:rFonts w:asciiTheme="majorHAnsi" w:hAnsiTheme="majorHAnsi" w:cstheme="majorHAnsi"/>
                <w:i/>
                <w:iCs/>
              </w:rPr>
              <w:t>E</w:t>
            </w:r>
            <w:r w:rsidRPr="002E79F5">
              <w:rPr>
                <w:rFonts w:asciiTheme="majorHAnsi" w:hAnsiTheme="majorHAnsi" w:cstheme="majorHAnsi"/>
                <w:i/>
                <w:iCs/>
              </w:rPr>
              <w:t>mbed</w:t>
            </w:r>
            <w:r w:rsidR="39307B57" w:rsidRPr="002E79F5">
              <w:rPr>
                <w:rFonts w:asciiTheme="majorHAnsi" w:hAnsiTheme="majorHAnsi" w:cstheme="majorHAnsi"/>
                <w:i/>
                <w:iCs/>
              </w:rPr>
              <w:t>ding</w:t>
            </w:r>
            <w:r w:rsidRPr="002E79F5">
              <w:rPr>
                <w:rFonts w:asciiTheme="majorHAnsi" w:hAnsiTheme="majorHAnsi" w:cstheme="majorHAnsi"/>
                <w:i/>
                <w:iCs/>
              </w:rPr>
              <w:t xml:space="preserve"> skills, knowledge and </w:t>
            </w:r>
            <w:proofErr w:type="gramStart"/>
            <w:r w:rsidRPr="002E79F5">
              <w:rPr>
                <w:rFonts w:asciiTheme="majorHAnsi" w:hAnsiTheme="majorHAnsi" w:cstheme="majorHAnsi"/>
                <w:i/>
                <w:iCs/>
              </w:rPr>
              <w:t>understanding</w:t>
            </w:r>
            <w:r w:rsidR="7E73BAFB" w:rsidRPr="002E79F5">
              <w:rPr>
                <w:rFonts w:asciiTheme="majorHAnsi" w:hAnsiTheme="majorHAnsi" w:cstheme="majorHAnsi"/>
                <w:i/>
                <w:iCs/>
              </w:rPr>
              <w:t>;</w:t>
            </w:r>
            <w:r w:rsidRPr="002E79F5">
              <w:rPr>
                <w:rFonts w:asciiTheme="majorHAnsi" w:hAnsiTheme="majorHAnsi" w:cstheme="majorHAnsi"/>
                <w:i/>
                <w:iCs/>
              </w:rPr>
              <w:t xml:space="preserve"> </w:t>
            </w:r>
            <w:r w:rsidR="48A13F58" w:rsidRPr="002E79F5">
              <w:rPr>
                <w:rFonts w:asciiTheme="majorHAnsi" w:hAnsiTheme="majorHAnsi" w:cstheme="majorHAnsi"/>
                <w:i/>
                <w:iCs/>
              </w:rPr>
              <w:t xml:space="preserve"> </w:t>
            </w:r>
            <w:r w:rsidRPr="002E79F5">
              <w:rPr>
                <w:rFonts w:asciiTheme="majorHAnsi" w:hAnsiTheme="majorHAnsi" w:cstheme="majorHAnsi"/>
                <w:i/>
                <w:iCs/>
              </w:rPr>
              <w:t>progress</w:t>
            </w:r>
            <w:proofErr w:type="gramEnd"/>
            <w:r w:rsidR="6CD5B8BC" w:rsidRPr="002E79F5">
              <w:rPr>
                <w:rFonts w:asciiTheme="majorHAnsi" w:hAnsiTheme="majorHAnsi" w:cstheme="majorHAnsi"/>
                <w:i/>
                <w:iCs/>
              </w:rPr>
              <w:t xml:space="preserve"> and</w:t>
            </w:r>
            <w:r w:rsidRPr="002E79F5">
              <w:rPr>
                <w:rFonts w:asciiTheme="majorHAnsi" w:hAnsiTheme="majorHAnsi" w:cstheme="majorHAnsi"/>
                <w:i/>
                <w:iCs/>
              </w:rPr>
              <w:t xml:space="preserve"> achievement</w:t>
            </w:r>
            <w:r w:rsidR="7FEE479C" w:rsidRPr="002E79F5">
              <w:rPr>
                <w:rFonts w:asciiTheme="majorHAnsi" w:hAnsiTheme="majorHAnsi" w:cstheme="majorHAnsi"/>
                <w:i/>
                <w:iCs/>
              </w:rPr>
              <w:t>;</w:t>
            </w:r>
            <w:r w:rsidRPr="002E79F5">
              <w:rPr>
                <w:rFonts w:asciiTheme="majorHAnsi" w:hAnsiTheme="majorHAnsi" w:cstheme="majorHAnsi"/>
                <w:i/>
                <w:iCs/>
              </w:rPr>
              <w:t xml:space="preserve"> motivation</w:t>
            </w:r>
            <w:r w:rsidR="287617D3" w:rsidRPr="002E79F5">
              <w:rPr>
                <w:rFonts w:asciiTheme="majorHAnsi" w:hAnsiTheme="majorHAnsi" w:cstheme="majorHAnsi"/>
                <w:i/>
                <w:iCs/>
              </w:rPr>
              <w:t>;</w:t>
            </w:r>
            <w:r w:rsidRPr="002E79F5">
              <w:rPr>
                <w:rFonts w:asciiTheme="majorHAnsi" w:hAnsiTheme="majorHAnsi" w:cstheme="majorHAnsi"/>
                <w:i/>
                <w:iCs/>
              </w:rPr>
              <w:t xml:space="preserve"> aspiration, positive attitudes</w:t>
            </w:r>
            <w:r w:rsidR="5070F165" w:rsidRPr="002E79F5">
              <w:rPr>
                <w:rFonts w:asciiTheme="majorHAnsi" w:hAnsiTheme="majorHAnsi" w:cstheme="majorHAnsi"/>
                <w:i/>
                <w:iCs/>
              </w:rPr>
              <w:t>;</w:t>
            </w:r>
            <w:r w:rsidRPr="002E79F5">
              <w:rPr>
                <w:rFonts w:asciiTheme="majorHAnsi" w:hAnsiTheme="majorHAnsi" w:cstheme="majorHAnsi"/>
                <w:i/>
                <w:iCs/>
              </w:rPr>
              <w:t xml:space="preserve"> community engagement</w:t>
            </w:r>
            <w:r w:rsidR="1CD767AE" w:rsidRPr="002E79F5">
              <w:rPr>
                <w:rFonts w:asciiTheme="majorHAnsi" w:hAnsiTheme="majorHAnsi" w:cstheme="majorHAnsi"/>
                <w:i/>
                <w:iCs/>
              </w:rPr>
              <w:t>;</w:t>
            </w:r>
            <w:r w:rsidRPr="002E79F5">
              <w:rPr>
                <w:rFonts w:asciiTheme="majorHAnsi" w:hAnsiTheme="majorHAnsi" w:cstheme="majorHAnsi"/>
                <w:i/>
                <w:iCs/>
              </w:rPr>
              <w:t xml:space="preserve"> transferr</w:t>
            </w:r>
            <w:r w:rsidR="53A8F557" w:rsidRPr="002E79F5">
              <w:rPr>
                <w:rFonts w:asciiTheme="majorHAnsi" w:hAnsiTheme="majorHAnsi" w:cstheme="majorHAnsi"/>
                <w:i/>
                <w:iCs/>
              </w:rPr>
              <w:t>able</w:t>
            </w:r>
            <w:r w:rsidRPr="002E79F5">
              <w:rPr>
                <w:rFonts w:asciiTheme="majorHAnsi" w:hAnsiTheme="majorHAnsi" w:cstheme="majorHAnsi"/>
                <w:i/>
                <w:iCs/>
              </w:rPr>
              <w:t xml:space="preserve"> skills)</w:t>
            </w:r>
          </w:p>
          <w:p w14:paraId="01907C72" w14:textId="77777777" w:rsidR="00B50035" w:rsidRPr="001A7258" w:rsidRDefault="00B50035" w:rsidP="002E79F5">
            <w:pPr>
              <w:spacing w:line="276" w:lineRule="auto"/>
              <w:rPr>
                <w:rFonts w:cstheme="minorHAnsi"/>
              </w:rPr>
            </w:pPr>
          </w:p>
          <w:p w14:paraId="1F02C0BD" w14:textId="77777777" w:rsidR="00B50035" w:rsidRPr="001A7258" w:rsidRDefault="00B50035" w:rsidP="002E79F5">
            <w:pPr>
              <w:spacing w:line="276" w:lineRule="auto"/>
              <w:rPr>
                <w:rFonts w:cstheme="minorHAnsi"/>
              </w:rPr>
            </w:pPr>
          </w:p>
          <w:p w14:paraId="47A8C34A" w14:textId="77777777" w:rsidR="00B50035" w:rsidRPr="001A7258" w:rsidRDefault="00B50035" w:rsidP="002E79F5">
            <w:pPr>
              <w:spacing w:line="276" w:lineRule="auto"/>
              <w:rPr>
                <w:rFonts w:cstheme="minorHAnsi"/>
              </w:rPr>
            </w:pPr>
          </w:p>
          <w:p w14:paraId="3058CECE" w14:textId="77777777" w:rsidR="00B50035" w:rsidRPr="001A7258" w:rsidRDefault="00B50035" w:rsidP="002E79F5">
            <w:pPr>
              <w:spacing w:line="276" w:lineRule="auto"/>
              <w:rPr>
                <w:rFonts w:cstheme="minorHAnsi"/>
              </w:rPr>
            </w:pPr>
          </w:p>
          <w:p w14:paraId="5A02799E" w14:textId="77777777" w:rsidR="00B50035" w:rsidRPr="001A7258" w:rsidRDefault="00B50035" w:rsidP="002E79F5">
            <w:pPr>
              <w:spacing w:line="276" w:lineRule="auto"/>
              <w:rPr>
                <w:rFonts w:cstheme="minorHAnsi"/>
              </w:rPr>
            </w:pPr>
          </w:p>
          <w:p w14:paraId="2C0098DD" w14:textId="77777777" w:rsidR="00B50035" w:rsidRPr="001A7258" w:rsidRDefault="00B50035" w:rsidP="002E79F5">
            <w:pPr>
              <w:spacing w:line="276" w:lineRule="auto"/>
              <w:rPr>
                <w:rFonts w:cstheme="minorHAnsi"/>
              </w:rPr>
            </w:pPr>
          </w:p>
          <w:p w14:paraId="2DF5106E" w14:textId="77777777" w:rsidR="00B50035" w:rsidRPr="001A7258" w:rsidRDefault="00B50035" w:rsidP="002E79F5">
            <w:pPr>
              <w:spacing w:line="276" w:lineRule="auto"/>
              <w:rPr>
                <w:rFonts w:cstheme="minorHAnsi"/>
              </w:rPr>
            </w:pPr>
          </w:p>
          <w:p w14:paraId="2D842401" w14:textId="77777777" w:rsidR="00B50035" w:rsidRPr="001A7258" w:rsidRDefault="00B50035" w:rsidP="002E79F5">
            <w:pPr>
              <w:spacing w:line="276" w:lineRule="auto"/>
              <w:rPr>
                <w:rFonts w:cstheme="minorHAnsi"/>
              </w:rPr>
            </w:pPr>
          </w:p>
          <w:p w14:paraId="4165FE40" w14:textId="77777777" w:rsidR="00B50035" w:rsidRPr="001A7258" w:rsidRDefault="00B50035" w:rsidP="002E79F5">
            <w:pPr>
              <w:spacing w:line="276" w:lineRule="auto"/>
              <w:rPr>
                <w:rFonts w:cstheme="minorHAnsi"/>
              </w:rPr>
            </w:pPr>
          </w:p>
          <w:p w14:paraId="00D7A676" w14:textId="77777777" w:rsidR="00B50035" w:rsidRPr="001A7258" w:rsidRDefault="00B50035" w:rsidP="002E79F5">
            <w:pPr>
              <w:spacing w:line="276" w:lineRule="auto"/>
              <w:rPr>
                <w:rFonts w:cstheme="minorHAnsi"/>
              </w:rPr>
            </w:pPr>
          </w:p>
        </w:tc>
      </w:tr>
      <w:tr w:rsidR="00B50035" w:rsidRPr="001A7258" w14:paraId="541B711F" w14:textId="77777777" w:rsidTr="002E79F5">
        <w:trPr>
          <w:trHeight w:val="300"/>
        </w:trPr>
        <w:tc>
          <w:tcPr>
            <w:tcW w:w="2405" w:type="dxa"/>
          </w:tcPr>
          <w:p w14:paraId="2D787535" w14:textId="77777777" w:rsidR="00B50035" w:rsidRPr="001A7258" w:rsidRDefault="00B50035" w:rsidP="002E79F5">
            <w:pPr>
              <w:spacing w:line="276" w:lineRule="auto"/>
              <w:rPr>
                <w:rFonts w:cstheme="minorHAnsi"/>
              </w:rPr>
            </w:pPr>
            <w:r w:rsidRPr="001A7258">
              <w:rPr>
                <w:rFonts w:cstheme="minorHAnsi"/>
              </w:rPr>
              <w:t>How will my learning contribute to whole school improvement priorities?</w:t>
            </w:r>
          </w:p>
          <w:p w14:paraId="013545A7" w14:textId="77777777" w:rsidR="00B50035" w:rsidRPr="001A7258" w:rsidRDefault="00B50035" w:rsidP="002E79F5">
            <w:pPr>
              <w:spacing w:line="276" w:lineRule="auto"/>
              <w:rPr>
                <w:rFonts w:cstheme="minorHAnsi"/>
              </w:rPr>
            </w:pPr>
          </w:p>
        </w:tc>
        <w:tc>
          <w:tcPr>
            <w:tcW w:w="6955" w:type="dxa"/>
          </w:tcPr>
          <w:p w14:paraId="4828D384" w14:textId="39CF7421" w:rsidR="00B50035" w:rsidRPr="002E79F5" w:rsidRDefault="00B50035" w:rsidP="002E79F5">
            <w:pPr>
              <w:spacing w:line="276" w:lineRule="auto"/>
              <w:rPr>
                <w:rFonts w:asciiTheme="majorHAnsi" w:hAnsiTheme="majorHAnsi" w:cstheme="majorHAnsi"/>
                <w:i/>
                <w:iCs/>
              </w:rPr>
            </w:pPr>
            <w:r w:rsidRPr="002E79F5">
              <w:rPr>
                <w:rFonts w:asciiTheme="majorHAnsi" w:hAnsiTheme="majorHAnsi" w:cstheme="majorHAnsi"/>
                <w:i/>
                <w:iCs/>
              </w:rPr>
              <w:t>(</w:t>
            </w:r>
            <w:r w:rsidR="0985E400" w:rsidRPr="002E79F5">
              <w:rPr>
                <w:rFonts w:asciiTheme="majorHAnsi" w:hAnsiTheme="majorHAnsi" w:cstheme="majorHAnsi"/>
                <w:i/>
                <w:iCs/>
              </w:rPr>
              <w:t>M</w:t>
            </w:r>
            <w:r w:rsidRPr="002E79F5">
              <w:rPr>
                <w:rFonts w:asciiTheme="majorHAnsi" w:hAnsiTheme="majorHAnsi" w:cstheme="majorHAnsi"/>
                <w:i/>
                <w:iCs/>
              </w:rPr>
              <w:t xml:space="preserve">ay relate to: </w:t>
            </w:r>
            <w:proofErr w:type="spellStart"/>
            <w:r w:rsidRPr="002E79F5">
              <w:rPr>
                <w:rFonts w:asciiTheme="majorHAnsi" w:hAnsiTheme="majorHAnsi" w:cstheme="majorHAnsi"/>
                <w:i/>
                <w:iCs/>
              </w:rPr>
              <w:t>Behaviour</w:t>
            </w:r>
            <w:proofErr w:type="spellEnd"/>
            <w:r w:rsidRPr="002E79F5">
              <w:rPr>
                <w:rFonts w:asciiTheme="majorHAnsi" w:hAnsiTheme="majorHAnsi" w:cstheme="majorHAnsi"/>
                <w:i/>
                <w:iCs/>
              </w:rPr>
              <w:t xml:space="preserve"> and attitudes, attendance, personal development, leadership and management, improving staff’s subject, pedagogical and pedagogical content knowledge; curriculum development, assessment, community engagement, workload and well-being, equity, diversion and inclusion</w:t>
            </w:r>
            <w:r w:rsidR="17D9E242" w:rsidRPr="002E79F5">
              <w:rPr>
                <w:rFonts w:asciiTheme="majorHAnsi" w:hAnsiTheme="majorHAnsi" w:cstheme="majorHAnsi"/>
                <w:i/>
                <w:iCs/>
              </w:rPr>
              <w:t>)</w:t>
            </w:r>
          </w:p>
          <w:p w14:paraId="321ADF12" w14:textId="0DC49EA6" w:rsidR="00B50035" w:rsidRPr="001A7258" w:rsidRDefault="00B50035" w:rsidP="002E79F5">
            <w:pPr>
              <w:spacing w:line="276" w:lineRule="auto"/>
            </w:pPr>
          </w:p>
          <w:p w14:paraId="17B93D78" w14:textId="51E09EBB" w:rsidR="00B50035" w:rsidRPr="001A7258" w:rsidRDefault="00B50035" w:rsidP="002E79F5">
            <w:pPr>
              <w:spacing w:line="276" w:lineRule="auto"/>
            </w:pPr>
          </w:p>
          <w:p w14:paraId="5DFEF287" w14:textId="2DEC26EC" w:rsidR="00B50035" w:rsidRPr="001A7258" w:rsidRDefault="00B50035" w:rsidP="002E79F5">
            <w:pPr>
              <w:spacing w:line="276" w:lineRule="auto"/>
            </w:pPr>
          </w:p>
          <w:p w14:paraId="73D476BC" w14:textId="06A91CDA" w:rsidR="00B50035" w:rsidRPr="001A7258" w:rsidRDefault="00B50035" w:rsidP="002E79F5">
            <w:pPr>
              <w:spacing w:line="276" w:lineRule="auto"/>
            </w:pPr>
          </w:p>
          <w:p w14:paraId="453CC2C9" w14:textId="000D31F7" w:rsidR="00B50035" w:rsidRPr="001A7258" w:rsidRDefault="00B50035" w:rsidP="002E79F5">
            <w:pPr>
              <w:spacing w:line="276" w:lineRule="auto"/>
            </w:pPr>
          </w:p>
          <w:p w14:paraId="4B9ACA66" w14:textId="27F369D2" w:rsidR="00B50035" w:rsidRPr="001A7258" w:rsidRDefault="00B50035" w:rsidP="002E79F5">
            <w:pPr>
              <w:spacing w:line="276" w:lineRule="auto"/>
            </w:pPr>
          </w:p>
          <w:p w14:paraId="50BBCC1D" w14:textId="1480BC35" w:rsidR="00B50035" w:rsidRPr="001A7258" w:rsidRDefault="00B50035" w:rsidP="002E79F5">
            <w:pPr>
              <w:spacing w:line="276" w:lineRule="auto"/>
            </w:pPr>
          </w:p>
          <w:p w14:paraId="5B0C4E9B" w14:textId="3A8838B4" w:rsidR="00B50035" w:rsidRPr="001A7258" w:rsidRDefault="00B50035" w:rsidP="002E79F5">
            <w:pPr>
              <w:spacing w:line="276" w:lineRule="auto"/>
            </w:pPr>
          </w:p>
          <w:p w14:paraId="73BDD183" w14:textId="53948DAE" w:rsidR="00B50035" w:rsidRPr="001A7258" w:rsidRDefault="00B50035" w:rsidP="002E79F5">
            <w:pPr>
              <w:spacing w:line="276" w:lineRule="auto"/>
            </w:pPr>
          </w:p>
        </w:tc>
      </w:tr>
      <w:tr w:rsidR="00B50035" w:rsidRPr="001A7258" w14:paraId="668EF8BC" w14:textId="77777777" w:rsidTr="002E79F5">
        <w:trPr>
          <w:trHeight w:val="300"/>
        </w:trPr>
        <w:tc>
          <w:tcPr>
            <w:tcW w:w="2405" w:type="dxa"/>
          </w:tcPr>
          <w:p w14:paraId="3BCF923F" w14:textId="73404C0C" w:rsidR="00B50035" w:rsidRPr="001A7258" w:rsidRDefault="00B50035" w:rsidP="002E79F5">
            <w:pPr>
              <w:spacing w:line="276" w:lineRule="auto"/>
              <w:rPr>
                <w:rFonts w:cstheme="minorHAnsi"/>
              </w:rPr>
            </w:pPr>
            <w:r w:rsidRPr="001A7258">
              <w:rPr>
                <w:rFonts w:cstheme="minorHAnsi"/>
              </w:rPr>
              <w:lastRenderedPageBreak/>
              <w:t>Links to performance review and personal development goals</w:t>
            </w:r>
            <w:r w:rsidR="002E79F5">
              <w:rPr>
                <w:rFonts w:cstheme="minorHAnsi"/>
              </w:rPr>
              <w:t>:</w:t>
            </w:r>
          </w:p>
          <w:p w14:paraId="252A4884" w14:textId="77777777" w:rsidR="00B50035" w:rsidRPr="001A7258" w:rsidRDefault="00B50035" w:rsidP="002E79F5">
            <w:pPr>
              <w:spacing w:line="276" w:lineRule="auto"/>
              <w:rPr>
                <w:rFonts w:cstheme="minorHAnsi"/>
              </w:rPr>
            </w:pPr>
          </w:p>
        </w:tc>
        <w:tc>
          <w:tcPr>
            <w:tcW w:w="6955" w:type="dxa"/>
          </w:tcPr>
          <w:p w14:paraId="6BF6141A" w14:textId="0F042E85" w:rsidR="00B50035" w:rsidRPr="001A7258" w:rsidRDefault="00B50035" w:rsidP="002E79F5">
            <w:pPr>
              <w:spacing w:line="276" w:lineRule="auto"/>
            </w:pPr>
          </w:p>
          <w:p w14:paraId="4216C8B0" w14:textId="2C8BB2E0" w:rsidR="00B50035" w:rsidRPr="001A7258" w:rsidRDefault="00B50035" w:rsidP="002E79F5">
            <w:pPr>
              <w:spacing w:line="276" w:lineRule="auto"/>
            </w:pPr>
          </w:p>
          <w:p w14:paraId="2F3E27FF" w14:textId="46423009" w:rsidR="00B50035" w:rsidRPr="001A7258" w:rsidRDefault="00B50035" w:rsidP="002E79F5">
            <w:pPr>
              <w:spacing w:line="276" w:lineRule="auto"/>
            </w:pPr>
          </w:p>
          <w:p w14:paraId="0E533394" w14:textId="1DBB35A5" w:rsidR="00B50035" w:rsidRPr="001A7258" w:rsidRDefault="00B50035" w:rsidP="002E79F5">
            <w:pPr>
              <w:spacing w:line="276" w:lineRule="auto"/>
            </w:pPr>
          </w:p>
          <w:p w14:paraId="2BB03120" w14:textId="498592E4" w:rsidR="00B50035" w:rsidRPr="001A7258" w:rsidRDefault="00B50035" w:rsidP="002E79F5">
            <w:pPr>
              <w:spacing w:line="276" w:lineRule="auto"/>
            </w:pPr>
          </w:p>
          <w:p w14:paraId="1A6170EC" w14:textId="5A4CBD47" w:rsidR="00B50035" w:rsidRPr="001A7258" w:rsidRDefault="00B50035" w:rsidP="002E79F5">
            <w:pPr>
              <w:spacing w:line="276" w:lineRule="auto"/>
            </w:pPr>
          </w:p>
          <w:p w14:paraId="3513903B" w14:textId="4FEDF3EB" w:rsidR="00B50035" w:rsidRPr="001A7258" w:rsidRDefault="00B50035" w:rsidP="002E79F5">
            <w:pPr>
              <w:spacing w:line="276" w:lineRule="auto"/>
            </w:pPr>
          </w:p>
          <w:p w14:paraId="3C11F590" w14:textId="79AA0212" w:rsidR="00B50035" w:rsidRPr="001A7258" w:rsidRDefault="00B50035" w:rsidP="002E79F5">
            <w:pPr>
              <w:spacing w:line="276" w:lineRule="auto"/>
            </w:pPr>
          </w:p>
          <w:p w14:paraId="2F715CB4" w14:textId="0C6F36FB" w:rsidR="00B50035" w:rsidRPr="001A7258" w:rsidRDefault="00B50035" w:rsidP="002E79F5">
            <w:pPr>
              <w:spacing w:line="276" w:lineRule="auto"/>
            </w:pPr>
          </w:p>
          <w:p w14:paraId="1EE666B0" w14:textId="785346E3" w:rsidR="00B50035" w:rsidRPr="001A7258" w:rsidRDefault="00B50035" w:rsidP="002E79F5">
            <w:pPr>
              <w:spacing w:line="276" w:lineRule="auto"/>
            </w:pPr>
          </w:p>
          <w:p w14:paraId="1E882BE7" w14:textId="7A8A1D57" w:rsidR="00B50035" w:rsidRPr="001A7258" w:rsidRDefault="00B50035" w:rsidP="002E79F5">
            <w:pPr>
              <w:spacing w:line="276" w:lineRule="auto"/>
            </w:pPr>
          </w:p>
          <w:p w14:paraId="622CAA52" w14:textId="4FAF3CA3" w:rsidR="00B50035" w:rsidRPr="001A7258" w:rsidRDefault="00B50035" w:rsidP="002E79F5">
            <w:pPr>
              <w:spacing w:line="276" w:lineRule="auto"/>
            </w:pPr>
          </w:p>
        </w:tc>
      </w:tr>
      <w:tr w:rsidR="00B50035" w:rsidRPr="001A7258" w14:paraId="52936C32" w14:textId="77777777" w:rsidTr="002E79F5">
        <w:trPr>
          <w:trHeight w:val="1935"/>
        </w:trPr>
        <w:tc>
          <w:tcPr>
            <w:tcW w:w="2405" w:type="dxa"/>
          </w:tcPr>
          <w:p w14:paraId="15E9222F" w14:textId="04B264D2" w:rsidR="00B50035" w:rsidRPr="001A7258" w:rsidRDefault="00B50035" w:rsidP="002E79F5">
            <w:pPr>
              <w:spacing w:line="276" w:lineRule="auto"/>
              <w:rPr>
                <w:rFonts w:cstheme="minorHAnsi"/>
              </w:rPr>
            </w:pPr>
            <w:r w:rsidRPr="001A7258">
              <w:rPr>
                <w:rFonts w:cstheme="minorHAnsi"/>
              </w:rPr>
              <w:t>Cost</w:t>
            </w:r>
            <w:r w:rsidR="002E79F5">
              <w:rPr>
                <w:rFonts w:cstheme="minorHAnsi"/>
              </w:rPr>
              <w:t>:</w:t>
            </w:r>
          </w:p>
        </w:tc>
        <w:tc>
          <w:tcPr>
            <w:tcW w:w="6955" w:type="dxa"/>
          </w:tcPr>
          <w:p w14:paraId="5ABFC60D" w14:textId="77777777" w:rsidR="002E79F5" w:rsidRDefault="00B50035" w:rsidP="002E79F5">
            <w:pPr>
              <w:spacing w:after="120" w:line="276" w:lineRule="auto"/>
              <w:rPr>
                <w:rFonts w:eastAsiaTheme="minorEastAsia"/>
                <w:b/>
                <w:bCs/>
              </w:rPr>
            </w:pPr>
            <w:r w:rsidRPr="6942768D">
              <w:rPr>
                <w:rFonts w:eastAsiaTheme="minorEastAsia"/>
                <w:b/>
                <w:bCs/>
              </w:rPr>
              <w:t>NSEAD member:</w:t>
            </w:r>
          </w:p>
          <w:p w14:paraId="4813093D" w14:textId="0A1DD670" w:rsidR="6AB1FEFC" w:rsidRPr="002E79F5" w:rsidRDefault="56B1C281" w:rsidP="002E79F5">
            <w:pPr>
              <w:spacing w:after="120" w:line="276" w:lineRule="auto"/>
              <w:rPr>
                <w:rFonts w:eastAsiaTheme="minorEastAsia"/>
                <w:b/>
                <w:bCs/>
              </w:rPr>
            </w:pPr>
            <w:r w:rsidRPr="6942768D">
              <w:rPr>
                <w:rFonts w:eastAsiaTheme="minorEastAsia"/>
                <w:b/>
                <w:bCs/>
              </w:rPr>
              <w:t>Registration fee only</w:t>
            </w:r>
            <w:r w:rsidR="002E79F5">
              <w:rPr>
                <w:rFonts w:eastAsiaTheme="minorEastAsia"/>
                <w:b/>
                <w:bCs/>
              </w:rPr>
              <w:t>:</w:t>
            </w:r>
            <w:r w:rsidRPr="6942768D">
              <w:rPr>
                <w:rFonts w:eastAsiaTheme="minorEastAsia"/>
                <w:b/>
                <w:bCs/>
              </w:rPr>
              <w:t xml:space="preserve"> £10</w:t>
            </w:r>
          </w:p>
          <w:p w14:paraId="79AA3743" w14:textId="45BA329D" w:rsidR="002E79F5" w:rsidRPr="002E79F5" w:rsidRDefault="002E79F5" w:rsidP="002E79F5">
            <w:pPr>
              <w:shd w:val="clear" w:color="auto" w:fill="FEFEFE"/>
              <w:spacing w:after="120" w:line="276" w:lineRule="auto"/>
            </w:pPr>
            <w:r w:rsidRPr="6942768D">
              <w:rPr>
                <w:rFonts w:eastAsiaTheme="minorEastAsia"/>
                <w:color w:val="333333"/>
              </w:rPr>
              <w:t xml:space="preserve">The annual conference is a key member CPD benefit, included in your subscription: members are only required to pay a nominal registration fee of £10 for the conference, and receive discounted rates for the summer gathering. </w:t>
            </w:r>
          </w:p>
          <w:p w14:paraId="7C64894C" w14:textId="35B847E0" w:rsidR="002E79F5" w:rsidRPr="002E79F5" w:rsidRDefault="48913529" w:rsidP="002E79F5">
            <w:pPr>
              <w:pStyle w:val="Heading3"/>
              <w:spacing w:before="0" w:after="120" w:line="276" w:lineRule="auto"/>
              <w:rPr>
                <w:b/>
                <w:bCs/>
              </w:rPr>
            </w:pPr>
            <w:r w:rsidRPr="002E79F5">
              <w:rPr>
                <w:rFonts w:eastAsiaTheme="minorEastAsia" w:cstheme="minorBidi"/>
                <w:b/>
                <w:bCs/>
                <w:color w:val="333333"/>
                <w:sz w:val="22"/>
                <w:szCs w:val="22"/>
              </w:rPr>
              <w:t xml:space="preserve">Non-member: </w:t>
            </w:r>
          </w:p>
          <w:p w14:paraId="1EE72632" w14:textId="77A07C3E" w:rsidR="002E79F5" w:rsidRPr="002E79F5" w:rsidRDefault="48913529" w:rsidP="002E79F5">
            <w:pPr>
              <w:pStyle w:val="Heading3"/>
              <w:spacing w:before="0" w:after="120" w:line="276" w:lineRule="auto"/>
              <w:rPr>
                <w:rFonts w:asciiTheme="majorHAnsi" w:eastAsiaTheme="minorEastAsia" w:hAnsiTheme="majorHAnsi" w:cstheme="majorHAnsi"/>
                <w:color w:val="333333"/>
                <w:sz w:val="22"/>
                <w:szCs w:val="22"/>
              </w:rPr>
            </w:pPr>
            <w:r w:rsidRPr="6942768D">
              <w:rPr>
                <w:rFonts w:eastAsiaTheme="minorEastAsia" w:cstheme="minorBidi"/>
                <w:color w:val="333333"/>
                <w:sz w:val="22"/>
                <w:szCs w:val="22"/>
              </w:rPr>
              <w:t>Early Bird Registration fee</w:t>
            </w:r>
            <w:r w:rsidR="002E79F5">
              <w:rPr>
                <w:rFonts w:eastAsiaTheme="minorEastAsia" w:cstheme="minorBidi"/>
                <w:color w:val="333333"/>
                <w:sz w:val="22"/>
                <w:szCs w:val="22"/>
              </w:rPr>
              <w:t>:</w:t>
            </w:r>
            <w:r w:rsidRPr="6942768D">
              <w:rPr>
                <w:rFonts w:eastAsiaTheme="minorEastAsia" w:cstheme="minorBidi"/>
                <w:color w:val="333333"/>
                <w:sz w:val="22"/>
                <w:szCs w:val="22"/>
              </w:rPr>
              <w:t xml:space="preserve"> £125.00 </w:t>
            </w:r>
            <w:r w:rsidRPr="002E79F5">
              <w:rPr>
                <w:rFonts w:asciiTheme="majorHAnsi" w:eastAsiaTheme="minorEastAsia" w:hAnsiTheme="majorHAnsi" w:cstheme="majorHAnsi"/>
                <w:color w:val="333333"/>
                <w:sz w:val="22"/>
                <w:szCs w:val="22"/>
              </w:rPr>
              <w:t>(until 20 April 2026)</w:t>
            </w:r>
          </w:p>
          <w:p w14:paraId="1FF1117D" w14:textId="2BE2CFEA" w:rsidR="00B50035" w:rsidRPr="002E79F5" w:rsidRDefault="68401525" w:rsidP="002E79F5">
            <w:pPr>
              <w:pStyle w:val="Heading3"/>
              <w:spacing w:before="0" w:after="120" w:line="276" w:lineRule="auto"/>
              <w:rPr>
                <w:rFonts w:eastAsiaTheme="minorEastAsia" w:cstheme="minorBidi"/>
                <w:color w:val="333333"/>
                <w:sz w:val="22"/>
                <w:szCs w:val="22"/>
              </w:rPr>
            </w:pPr>
            <w:r w:rsidRPr="6942768D">
              <w:rPr>
                <w:rFonts w:eastAsiaTheme="minorEastAsia" w:cstheme="minorBidi"/>
                <w:color w:val="333333"/>
                <w:sz w:val="22"/>
                <w:szCs w:val="22"/>
              </w:rPr>
              <w:t>Standard fee: £145.00</w:t>
            </w:r>
          </w:p>
          <w:p w14:paraId="170A042D" w14:textId="77777777" w:rsidR="002E79F5" w:rsidRDefault="68401525" w:rsidP="002E79F5">
            <w:pPr>
              <w:shd w:val="clear" w:color="auto" w:fill="FEFEFE"/>
              <w:spacing w:after="120" w:line="276" w:lineRule="auto"/>
              <w:rPr>
                <w:rFonts w:eastAsiaTheme="minorEastAsia"/>
                <w:color w:val="333333"/>
              </w:rPr>
            </w:pPr>
            <w:r w:rsidRPr="002E79F5">
              <w:rPr>
                <w:rFonts w:eastAsiaTheme="minorEastAsia"/>
                <w:color w:val="333333"/>
              </w:rPr>
              <w:t>Not a member?</w:t>
            </w:r>
            <w:r w:rsidRPr="6942768D">
              <w:rPr>
                <w:rFonts w:eastAsiaTheme="minorEastAsia"/>
                <w:b/>
                <w:bCs/>
                <w:color w:val="333333"/>
              </w:rPr>
              <w:t xml:space="preserve"> </w:t>
            </w:r>
            <w:hyperlink r:id="rId9">
              <w:r w:rsidRPr="6942768D">
                <w:rPr>
                  <w:rStyle w:val="Hyperlink"/>
                  <w:rFonts w:eastAsiaTheme="minorEastAsia"/>
                  <w:color w:val="1779BA"/>
                  <w:u w:val="none"/>
                </w:rPr>
                <w:t>Join now</w:t>
              </w:r>
            </w:hyperlink>
            <w:r w:rsidRPr="6942768D">
              <w:rPr>
                <w:rFonts w:eastAsiaTheme="minorEastAsia"/>
                <w:color w:val="333333"/>
              </w:rPr>
              <w:t xml:space="preserve"> to access the conference at our member’s rate, plus a whole year of CPD, resources, research, support, community and more. Annual membership fees start from just £56.70*</w:t>
            </w:r>
          </w:p>
          <w:p w14:paraId="1038153D" w14:textId="69A26BAF" w:rsidR="00B50035" w:rsidRPr="002E79F5" w:rsidRDefault="68401525" w:rsidP="002E79F5">
            <w:pPr>
              <w:shd w:val="clear" w:color="auto" w:fill="FEFEFE"/>
              <w:spacing w:after="120" w:line="276" w:lineRule="auto"/>
              <w:rPr>
                <w:rFonts w:asciiTheme="majorHAnsi" w:eastAsiaTheme="minorEastAsia" w:hAnsiTheme="majorHAnsi" w:cstheme="majorHAnsi"/>
                <w:color w:val="333333"/>
              </w:rPr>
            </w:pPr>
            <w:r w:rsidRPr="002E79F5">
              <w:rPr>
                <w:rFonts w:asciiTheme="majorHAnsi" w:eastAsiaTheme="minorEastAsia" w:hAnsiTheme="majorHAnsi" w:cstheme="majorHAnsi"/>
                <w:i/>
                <w:iCs/>
                <w:color w:val="333333"/>
              </w:rPr>
              <w:t>* For part time and ECT Professional Associates. T&amp;Cs apply.</w:t>
            </w:r>
          </w:p>
        </w:tc>
      </w:tr>
    </w:tbl>
    <w:p w14:paraId="7CAAAC5A" w14:textId="77777777" w:rsidR="00B50035" w:rsidRDefault="00B50035" w:rsidP="002E79F5">
      <w:pPr>
        <w:spacing w:line="276" w:lineRule="auto"/>
      </w:pPr>
    </w:p>
    <w:p w14:paraId="3AA2F201" w14:textId="77777777" w:rsidR="00B50035" w:rsidRDefault="00B50035" w:rsidP="002E79F5">
      <w:pPr>
        <w:spacing w:line="276" w:lineRule="auto"/>
      </w:pPr>
    </w:p>
    <w:p w14:paraId="182AED34" w14:textId="77777777" w:rsidR="00B50035" w:rsidRDefault="00B50035" w:rsidP="002E79F5">
      <w:pPr>
        <w:spacing w:line="276" w:lineRule="auto"/>
      </w:pPr>
    </w:p>
    <w:p w14:paraId="41DA9964" w14:textId="77777777" w:rsidR="00B50035" w:rsidRDefault="00B50035" w:rsidP="002E79F5">
      <w:pPr>
        <w:spacing w:line="276" w:lineRule="auto"/>
      </w:pPr>
    </w:p>
    <w:p w14:paraId="75149BBB" w14:textId="77777777" w:rsidR="0094525A" w:rsidRDefault="0094525A" w:rsidP="002E79F5">
      <w:pPr>
        <w:spacing w:line="276" w:lineRule="auto"/>
      </w:pPr>
    </w:p>
    <w:sectPr w:rsidR="0094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652E"/>
    <w:multiLevelType w:val="hybridMultilevel"/>
    <w:tmpl w:val="A8F2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B9DFC"/>
    <w:multiLevelType w:val="hybridMultilevel"/>
    <w:tmpl w:val="D9BCB2AE"/>
    <w:lvl w:ilvl="0" w:tplc="48E4E76E">
      <w:start w:val="1"/>
      <w:numFmt w:val="bullet"/>
      <w:lvlText w:val="·"/>
      <w:lvlJc w:val="left"/>
      <w:pPr>
        <w:ind w:left="720" w:hanging="360"/>
      </w:pPr>
      <w:rPr>
        <w:rFonts w:ascii="Symbol" w:hAnsi="Symbol" w:hint="default"/>
      </w:rPr>
    </w:lvl>
    <w:lvl w:ilvl="1" w:tplc="F7E83FD8">
      <w:start w:val="1"/>
      <w:numFmt w:val="bullet"/>
      <w:lvlText w:val="o"/>
      <w:lvlJc w:val="left"/>
      <w:pPr>
        <w:ind w:left="1440" w:hanging="360"/>
      </w:pPr>
      <w:rPr>
        <w:rFonts w:ascii="Courier New" w:hAnsi="Courier New" w:hint="default"/>
      </w:rPr>
    </w:lvl>
    <w:lvl w:ilvl="2" w:tplc="A7806D30">
      <w:start w:val="1"/>
      <w:numFmt w:val="bullet"/>
      <w:lvlText w:val=""/>
      <w:lvlJc w:val="left"/>
      <w:pPr>
        <w:ind w:left="2160" w:hanging="360"/>
      </w:pPr>
      <w:rPr>
        <w:rFonts w:ascii="Wingdings" w:hAnsi="Wingdings" w:hint="default"/>
      </w:rPr>
    </w:lvl>
    <w:lvl w:ilvl="3" w:tplc="28EAFF90">
      <w:start w:val="1"/>
      <w:numFmt w:val="bullet"/>
      <w:lvlText w:val=""/>
      <w:lvlJc w:val="left"/>
      <w:pPr>
        <w:ind w:left="2880" w:hanging="360"/>
      </w:pPr>
      <w:rPr>
        <w:rFonts w:ascii="Symbol" w:hAnsi="Symbol" w:hint="default"/>
      </w:rPr>
    </w:lvl>
    <w:lvl w:ilvl="4" w:tplc="D35E4570">
      <w:start w:val="1"/>
      <w:numFmt w:val="bullet"/>
      <w:lvlText w:val="o"/>
      <w:lvlJc w:val="left"/>
      <w:pPr>
        <w:ind w:left="3600" w:hanging="360"/>
      </w:pPr>
      <w:rPr>
        <w:rFonts w:ascii="Courier New" w:hAnsi="Courier New" w:hint="default"/>
      </w:rPr>
    </w:lvl>
    <w:lvl w:ilvl="5" w:tplc="5E74DAD0">
      <w:start w:val="1"/>
      <w:numFmt w:val="bullet"/>
      <w:lvlText w:val=""/>
      <w:lvlJc w:val="left"/>
      <w:pPr>
        <w:ind w:left="4320" w:hanging="360"/>
      </w:pPr>
      <w:rPr>
        <w:rFonts w:ascii="Wingdings" w:hAnsi="Wingdings" w:hint="default"/>
      </w:rPr>
    </w:lvl>
    <w:lvl w:ilvl="6" w:tplc="0A70D87C">
      <w:start w:val="1"/>
      <w:numFmt w:val="bullet"/>
      <w:lvlText w:val=""/>
      <w:lvlJc w:val="left"/>
      <w:pPr>
        <w:ind w:left="5040" w:hanging="360"/>
      </w:pPr>
      <w:rPr>
        <w:rFonts w:ascii="Symbol" w:hAnsi="Symbol" w:hint="default"/>
      </w:rPr>
    </w:lvl>
    <w:lvl w:ilvl="7" w:tplc="B0B46E54">
      <w:start w:val="1"/>
      <w:numFmt w:val="bullet"/>
      <w:lvlText w:val="o"/>
      <w:lvlJc w:val="left"/>
      <w:pPr>
        <w:ind w:left="5760" w:hanging="360"/>
      </w:pPr>
      <w:rPr>
        <w:rFonts w:ascii="Courier New" w:hAnsi="Courier New" w:hint="default"/>
      </w:rPr>
    </w:lvl>
    <w:lvl w:ilvl="8" w:tplc="28CEC6C4">
      <w:start w:val="1"/>
      <w:numFmt w:val="bullet"/>
      <w:lvlText w:val=""/>
      <w:lvlJc w:val="left"/>
      <w:pPr>
        <w:ind w:left="6480" w:hanging="360"/>
      </w:pPr>
      <w:rPr>
        <w:rFonts w:ascii="Wingdings" w:hAnsi="Wingdings" w:hint="default"/>
      </w:rPr>
    </w:lvl>
  </w:abstractNum>
  <w:abstractNum w:abstractNumId="2" w15:restartNumberingAfterBreak="0">
    <w:nsid w:val="3AD36731"/>
    <w:multiLevelType w:val="multilevel"/>
    <w:tmpl w:val="1D6E7B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01517"/>
    <w:multiLevelType w:val="hybridMultilevel"/>
    <w:tmpl w:val="8E9A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218E6"/>
    <w:multiLevelType w:val="hybridMultilevel"/>
    <w:tmpl w:val="E490F6A8"/>
    <w:lvl w:ilvl="0" w:tplc="271A5FA0">
      <w:start w:val="1"/>
      <w:numFmt w:val="bullet"/>
      <w:lvlText w:val=""/>
      <w:lvlJc w:val="left"/>
      <w:pPr>
        <w:ind w:left="360" w:hanging="360"/>
      </w:pPr>
      <w:rPr>
        <w:rFonts w:ascii="Symbol" w:hAnsi="Symbol" w:hint="default"/>
      </w:rPr>
    </w:lvl>
    <w:lvl w:ilvl="1" w:tplc="E1DEC718">
      <w:start w:val="1"/>
      <w:numFmt w:val="bullet"/>
      <w:lvlText w:val="o"/>
      <w:lvlJc w:val="left"/>
      <w:pPr>
        <w:ind w:left="1080" w:hanging="360"/>
      </w:pPr>
      <w:rPr>
        <w:rFonts w:ascii="Courier New" w:hAnsi="Courier New" w:hint="default"/>
      </w:rPr>
    </w:lvl>
    <w:lvl w:ilvl="2" w:tplc="925AFD34">
      <w:start w:val="1"/>
      <w:numFmt w:val="bullet"/>
      <w:lvlText w:val=""/>
      <w:lvlJc w:val="left"/>
      <w:pPr>
        <w:ind w:left="1800" w:hanging="360"/>
      </w:pPr>
      <w:rPr>
        <w:rFonts w:ascii="Wingdings" w:hAnsi="Wingdings" w:hint="default"/>
      </w:rPr>
    </w:lvl>
    <w:lvl w:ilvl="3" w:tplc="5DB2D464">
      <w:start w:val="1"/>
      <w:numFmt w:val="bullet"/>
      <w:lvlText w:val=""/>
      <w:lvlJc w:val="left"/>
      <w:pPr>
        <w:ind w:left="2520" w:hanging="360"/>
      </w:pPr>
      <w:rPr>
        <w:rFonts w:ascii="Symbol" w:hAnsi="Symbol" w:hint="default"/>
      </w:rPr>
    </w:lvl>
    <w:lvl w:ilvl="4" w:tplc="A65227A8">
      <w:start w:val="1"/>
      <w:numFmt w:val="bullet"/>
      <w:lvlText w:val="o"/>
      <w:lvlJc w:val="left"/>
      <w:pPr>
        <w:ind w:left="3240" w:hanging="360"/>
      </w:pPr>
      <w:rPr>
        <w:rFonts w:ascii="Courier New" w:hAnsi="Courier New" w:hint="default"/>
      </w:rPr>
    </w:lvl>
    <w:lvl w:ilvl="5" w:tplc="C8B452EE">
      <w:start w:val="1"/>
      <w:numFmt w:val="bullet"/>
      <w:lvlText w:val=""/>
      <w:lvlJc w:val="left"/>
      <w:pPr>
        <w:ind w:left="3960" w:hanging="360"/>
      </w:pPr>
      <w:rPr>
        <w:rFonts w:ascii="Wingdings" w:hAnsi="Wingdings" w:hint="default"/>
      </w:rPr>
    </w:lvl>
    <w:lvl w:ilvl="6" w:tplc="DE46CA92">
      <w:start w:val="1"/>
      <w:numFmt w:val="bullet"/>
      <w:lvlText w:val=""/>
      <w:lvlJc w:val="left"/>
      <w:pPr>
        <w:ind w:left="4680" w:hanging="360"/>
      </w:pPr>
      <w:rPr>
        <w:rFonts w:ascii="Symbol" w:hAnsi="Symbol" w:hint="default"/>
      </w:rPr>
    </w:lvl>
    <w:lvl w:ilvl="7" w:tplc="CC24F610">
      <w:start w:val="1"/>
      <w:numFmt w:val="bullet"/>
      <w:lvlText w:val="o"/>
      <w:lvlJc w:val="left"/>
      <w:pPr>
        <w:ind w:left="5400" w:hanging="360"/>
      </w:pPr>
      <w:rPr>
        <w:rFonts w:ascii="Courier New" w:hAnsi="Courier New" w:hint="default"/>
      </w:rPr>
    </w:lvl>
    <w:lvl w:ilvl="8" w:tplc="57D029DE">
      <w:start w:val="1"/>
      <w:numFmt w:val="bullet"/>
      <w:lvlText w:val=""/>
      <w:lvlJc w:val="left"/>
      <w:pPr>
        <w:ind w:left="6120" w:hanging="360"/>
      </w:pPr>
      <w:rPr>
        <w:rFonts w:ascii="Wingdings" w:hAnsi="Wingdings" w:hint="default"/>
      </w:rPr>
    </w:lvl>
  </w:abstractNum>
  <w:num w:numId="1" w16cid:durableId="576133344">
    <w:abstractNumId w:val="4"/>
  </w:num>
  <w:num w:numId="2" w16cid:durableId="593829887">
    <w:abstractNumId w:val="1"/>
  </w:num>
  <w:num w:numId="3" w16cid:durableId="81532954">
    <w:abstractNumId w:val="2"/>
  </w:num>
  <w:num w:numId="4" w16cid:durableId="479270580">
    <w:abstractNumId w:val="0"/>
  </w:num>
  <w:num w:numId="5" w16cid:durableId="214519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35"/>
    <w:rsid w:val="000732A5"/>
    <w:rsid w:val="001D0D56"/>
    <w:rsid w:val="002166F5"/>
    <w:rsid w:val="002E79F5"/>
    <w:rsid w:val="00586EBF"/>
    <w:rsid w:val="005DF8CD"/>
    <w:rsid w:val="00630E99"/>
    <w:rsid w:val="006C7C08"/>
    <w:rsid w:val="008116F0"/>
    <w:rsid w:val="0094525A"/>
    <w:rsid w:val="00B50035"/>
    <w:rsid w:val="00D56C53"/>
    <w:rsid w:val="00D871B8"/>
    <w:rsid w:val="00F25C29"/>
    <w:rsid w:val="011858A8"/>
    <w:rsid w:val="0119D1C9"/>
    <w:rsid w:val="01797265"/>
    <w:rsid w:val="03CAB30E"/>
    <w:rsid w:val="0402931A"/>
    <w:rsid w:val="05026190"/>
    <w:rsid w:val="05B081B8"/>
    <w:rsid w:val="06BC3268"/>
    <w:rsid w:val="07FDB2A9"/>
    <w:rsid w:val="09790B27"/>
    <w:rsid w:val="0985E400"/>
    <w:rsid w:val="0A70D188"/>
    <w:rsid w:val="0A7813ED"/>
    <w:rsid w:val="0C6AE766"/>
    <w:rsid w:val="0DF21953"/>
    <w:rsid w:val="0E2C4869"/>
    <w:rsid w:val="100D3DC2"/>
    <w:rsid w:val="10D41D0D"/>
    <w:rsid w:val="10DE9A62"/>
    <w:rsid w:val="10EA3C3E"/>
    <w:rsid w:val="11013689"/>
    <w:rsid w:val="1288BA40"/>
    <w:rsid w:val="12ADA475"/>
    <w:rsid w:val="14AC55A9"/>
    <w:rsid w:val="15D0D923"/>
    <w:rsid w:val="16BC7E47"/>
    <w:rsid w:val="17A1F153"/>
    <w:rsid w:val="17D9E242"/>
    <w:rsid w:val="1828DF39"/>
    <w:rsid w:val="185E684B"/>
    <w:rsid w:val="18B6FC91"/>
    <w:rsid w:val="19A01ED0"/>
    <w:rsid w:val="19E9B0C4"/>
    <w:rsid w:val="1A736496"/>
    <w:rsid w:val="1BA1CD8D"/>
    <w:rsid w:val="1CD767AE"/>
    <w:rsid w:val="1D0D1A2A"/>
    <w:rsid w:val="1DAAEF5C"/>
    <w:rsid w:val="1F1520BC"/>
    <w:rsid w:val="20D9C1D3"/>
    <w:rsid w:val="225F59F2"/>
    <w:rsid w:val="22AC9BD4"/>
    <w:rsid w:val="257F2DAE"/>
    <w:rsid w:val="258D4713"/>
    <w:rsid w:val="26BA1843"/>
    <w:rsid w:val="276C1726"/>
    <w:rsid w:val="285A7745"/>
    <w:rsid w:val="287617D3"/>
    <w:rsid w:val="2A040091"/>
    <w:rsid w:val="2B453D3E"/>
    <w:rsid w:val="2BD3FC5B"/>
    <w:rsid w:val="2CD38769"/>
    <w:rsid w:val="2D46F537"/>
    <w:rsid w:val="2DD5DB22"/>
    <w:rsid w:val="2F5B6453"/>
    <w:rsid w:val="2FB66B16"/>
    <w:rsid w:val="336B4AB5"/>
    <w:rsid w:val="366108FC"/>
    <w:rsid w:val="39307B57"/>
    <w:rsid w:val="3AE5188E"/>
    <w:rsid w:val="3BB13D1F"/>
    <w:rsid w:val="3C7ADFE2"/>
    <w:rsid w:val="3CDD8551"/>
    <w:rsid w:val="3E57EDE7"/>
    <w:rsid w:val="3EC4175A"/>
    <w:rsid w:val="3F295A37"/>
    <w:rsid w:val="3FB2A5F1"/>
    <w:rsid w:val="406D3E0C"/>
    <w:rsid w:val="41ED2C1F"/>
    <w:rsid w:val="426F458D"/>
    <w:rsid w:val="4313ED1B"/>
    <w:rsid w:val="43CFC24E"/>
    <w:rsid w:val="44AAA80A"/>
    <w:rsid w:val="44B8F438"/>
    <w:rsid w:val="46231801"/>
    <w:rsid w:val="46FA4879"/>
    <w:rsid w:val="48913529"/>
    <w:rsid w:val="48A13F58"/>
    <w:rsid w:val="4A32FC5F"/>
    <w:rsid w:val="4A80BCAB"/>
    <w:rsid w:val="4B16BD6B"/>
    <w:rsid w:val="4BBC1AEF"/>
    <w:rsid w:val="4BEBE664"/>
    <w:rsid w:val="4E3892C2"/>
    <w:rsid w:val="4F12F34D"/>
    <w:rsid w:val="4F66CE2D"/>
    <w:rsid w:val="5070F165"/>
    <w:rsid w:val="51F910C9"/>
    <w:rsid w:val="527DDD80"/>
    <w:rsid w:val="529FCE59"/>
    <w:rsid w:val="53A8F557"/>
    <w:rsid w:val="55FDB285"/>
    <w:rsid w:val="5610EE35"/>
    <w:rsid w:val="56B1C281"/>
    <w:rsid w:val="56F3B38F"/>
    <w:rsid w:val="5730FD0D"/>
    <w:rsid w:val="59118269"/>
    <w:rsid w:val="592B8D3E"/>
    <w:rsid w:val="592DB0B7"/>
    <w:rsid w:val="592E1118"/>
    <w:rsid w:val="5A5B3440"/>
    <w:rsid w:val="5B26DDA6"/>
    <w:rsid w:val="5B2AB0A6"/>
    <w:rsid w:val="5C3E120C"/>
    <w:rsid w:val="5CB43E04"/>
    <w:rsid w:val="5CF6AC7A"/>
    <w:rsid w:val="5D1FF5F8"/>
    <w:rsid w:val="5E56135E"/>
    <w:rsid w:val="5EB222C0"/>
    <w:rsid w:val="5EDF9898"/>
    <w:rsid w:val="601BDDD5"/>
    <w:rsid w:val="613CB1AC"/>
    <w:rsid w:val="61626F20"/>
    <w:rsid w:val="617EA9B9"/>
    <w:rsid w:val="6479B29B"/>
    <w:rsid w:val="66463724"/>
    <w:rsid w:val="66ADE8C6"/>
    <w:rsid w:val="67105645"/>
    <w:rsid w:val="67F37D7B"/>
    <w:rsid w:val="683C10E1"/>
    <w:rsid w:val="68401525"/>
    <w:rsid w:val="6942768D"/>
    <w:rsid w:val="69BBF09C"/>
    <w:rsid w:val="6A6CB5D3"/>
    <w:rsid w:val="6AB1FEFC"/>
    <w:rsid w:val="6B5DBB2B"/>
    <w:rsid w:val="6BBE4A36"/>
    <w:rsid w:val="6C569CCF"/>
    <w:rsid w:val="6C7DB55E"/>
    <w:rsid w:val="6CD5B8BC"/>
    <w:rsid w:val="6D222010"/>
    <w:rsid w:val="6D97656B"/>
    <w:rsid w:val="6E603A3F"/>
    <w:rsid w:val="6E738038"/>
    <w:rsid w:val="6F048512"/>
    <w:rsid w:val="6F1FADAE"/>
    <w:rsid w:val="70343A97"/>
    <w:rsid w:val="70A39BF5"/>
    <w:rsid w:val="712A611C"/>
    <w:rsid w:val="71A846E1"/>
    <w:rsid w:val="75C5F589"/>
    <w:rsid w:val="761830D8"/>
    <w:rsid w:val="77307767"/>
    <w:rsid w:val="774EFBEA"/>
    <w:rsid w:val="7880DA13"/>
    <w:rsid w:val="7B4A38A5"/>
    <w:rsid w:val="7C6ADB54"/>
    <w:rsid w:val="7CAAF596"/>
    <w:rsid w:val="7CD454BB"/>
    <w:rsid w:val="7E681902"/>
    <w:rsid w:val="7E73BAFB"/>
    <w:rsid w:val="7ECBAED8"/>
    <w:rsid w:val="7F00388C"/>
    <w:rsid w:val="7FB2B041"/>
    <w:rsid w:val="7FEE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1E91"/>
  <w15:chartTrackingRefBased/>
  <w15:docId w15:val="{FB837D09-A0B5-4493-91C9-F3AB151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35"/>
    <w:rPr>
      <w:kern w:val="0"/>
      <w:lang w:val="en-US"/>
      <w14:ligatures w14:val="none"/>
    </w:rPr>
  </w:style>
  <w:style w:type="paragraph" w:styleId="Heading3">
    <w:name w:val="heading 3"/>
    <w:basedOn w:val="Normal"/>
    <w:next w:val="Normal"/>
    <w:uiPriority w:val="9"/>
    <w:unhideWhenUsed/>
    <w:qFormat/>
    <w:rsid w:val="6942768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0035"/>
    <w:pPr>
      <w:ind w:left="720"/>
      <w:contextualSpacing/>
    </w:pPr>
  </w:style>
  <w:style w:type="paragraph" w:customStyle="1" w:styleId="paragraph">
    <w:name w:val="paragraph"/>
    <w:basedOn w:val="Normal"/>
    <w:rsid w:val="00B500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586EBF"/>
  </w:style>
  <w:style w:type="paragraph" w:styleId="NormalWeb">
    <w:name w:val="Normal (Web)"/>
    <w:basedOn w:val="Normal"/>
    <w:uiPriority w:val="99"/>
    <w:unhideWhenUsed/>
    <w:rsid w:val="00D56C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6AB1FE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sead.org/membership/membership-benefi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e344f-13ef-4256-a1e9-130cf7d5420a" xsi:nil="true"/>
    <lcf76f155ced4ddcb4097134ff3c332f xmlns="c6f101c0-3e3e-4681-a832-e7c11d5bad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1B2B08F96DED4E853D75CD6DC2939C" ma:contentTypeVersion="17" ma:contentTypeDescription="Create a new document." ma:contentTypeScope="" ma:versionID="c4399396902fc2d822430261e5bbe2c8">
  <xsd:schema xmlns:xsd="http://www.w3.org/2001/XMLSchema" xmlns:xs="http://www.w3.org/2001/XMLSchema" xmlns:p="http://schemas.microsoft.com/office/2006/metadata/properties" xmlns:ns2="c6f101c0-3e3e-4681-a832-e7c11d5bad69" xmlns:ns3="62fe344f-13ef-4256-a1e9-130cf7d5420a" targetNamespace="http://schemas.microsoft.com/office/2006/metadata/properties" ma:root="true" ma:fieldsID="cfef91dc9eb7bfcd43672e2baf5ac9d6" ns2:_="" ns3:_="">
    <xsd:import namespace="c6f101c0-3e3e-4681-a832-e7c11d5bad69"/>
    <xsd:import namespace="62fe344f-13ef-4256-a1e9-130cf7d542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101c0-3e3e-4681-a832-e7c11d5ba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2900b6-3428-485a-9cc5-63b9f1504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e344f-13ef-4256-a1e9-130cf7d542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ec6582-654c-41c1-8ef0-272e80055821}" ma:internalName="TaxCatchAll" ma:showField="CatchAllData" ma:web="62fe344f-13ef-4256-a1e9-130cf7d54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A0E5A-AF07-405F-A313-1D38F3AA2CCD}">
  <ds:schemaRefs>
    <ds:schemaRef ds:uri="http://schemas.microsoft.com/office/2006/metadata/properties"/>
    <ds:schemaRef ds:uri="http://schemas.microsoft.com/office/infopath/2007/PartnerControls"/>
    <ds:schemaRef ds:uri="62fe344f-13ef-4256-a1e9-130cf7d5420a"/>
    <ds:schemaRef ds:uri="c6f101c0-3e3e-4681-a832-e7c11d5bad69"/>
  </ds:schemaRefs>
</ds:datastoreItem>
</file>

<file path=customXml/itemProps2.xml><?xml version="1.0" encoding="utf-8"?>
<ds:datastoreItem xmlns:ds="http://schemas.openxmlformats.org/officeDocument/2006/customXml" ds:itemID="{FA306B97-7646-47FB-B9A8-4282D00B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101c0-3e3e-4681-a832-e7c11d5bad69"/>
    <ds:schemaRef ds:uri="62fe344f-13ef-4256-a1e9-130cf7d5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A8363-A714-460B-B8E7-92201953D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2957</Characters>
  <Application>Microsoft Office Word</Application>
  <DocSecurity>0</DocSecurity>
  <Lines>121</Lines>
  <Paragraphs>34</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Quinn</dc:creator>
  <cp:keywords/>
  <dc:description/>
  <cp:lastModifiedBy>Claire Smith</cp:lastModifiedBy>
  <cp:revision>3</cp:revision>
  <dcterms:created xsi:type="dcterms:W3CDTF">2026-04-07T14:51:00Z</dcterms:created>
  <dcterms:modified xsi:type="dcterms:W3CDTF">2026-04-07T14:51:00Z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0x010100451B2B08F96DED4E853D75CD6DC2939C</vt:lpwstr>
  </property>
  <property fmtid="{D5CDD505-2E9C-101B-9397-08002B2CF9AE}" pid="3" name="MediaServiceImageTags">
    <vt:lpwstr/>
  </property>
</Properties>
</file>